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rPr>
          <w:rFonts w:ascii="黑体" w:hAnsi="ˎ̥" w:eastAsia="黑体"/>
          <w:sz w:val="44"/>
          <w:szCs w:val="44"/>
        </w:rPr>
      </w:pPr>
    </w:p>
    <w:p>
      <w:pPr>
        <w:jc w:val="center"/>
        <w:rPr>
          <w:rFonts w:ascii="黑体" w:hAnsi="ˎ̥" w:eastAsia="黑体"/>
          <w:sz w:val="44"/>
          <w:szCs w:val="44"/>
        </w:rPr>
      </w:pPr>
      <w:r>
        <w:rPr>
          <w:rFonts w:hint="eastAsia" w:ascii="方正小标宋简体" w:hAnsi="方正小标宋简体" w:eastAsia="方正小标宋简体" w:cs="方正小标宋简体"/>
          <w:sz w:val="44"/>
          <w:szCs w:val="44"/>
        </w:rPr>
        <w:t>海南省公安</w:t>
      </w:r>
      <w:bookmarkStart w:id="118" w:name="_GoBack"/>
      <w:bookmarkEnd w:id="118"/>
      <w:r>
        <w:rPr>
          <w:rFonts w:hint="eastAsia" w:ascii="方正小标宋简体" w:hAnsi="方正小标宋简体" w:eastAsia="方正小标宋简体" w:cs="方正小标宋简体"/>
          <w:sz w:val="44"/>
          <w:szCs w:val="44"/>
        </w:rPr>
        <w:t>厅收容教育所2021年度决算</w:t>
      </w:r>
    </w:p>
    <w:p>
      <w:pPr>
        <w:jc w:val="center"/>
        <w:rPr>
          <w:rFonts w:ascii="黑体" w:hAnsi="ˎ̥" w:eastAsia="黑体"/>
          <w:b/>
          <w:sz w:val="32"/>
          <w:szCs w:val="32"/>
        </w:rPr>
      </w:pPr>
    </w:p>
    <w:p>
      <w:pPr>
        <w:jc w:val="center"/>
        <w:rPr>
          <w:rFonts w:ascii="黑体" w:hAnsi="黑体" w:eastAsia="黑体" w:cs="黑体"/>
          <w:sz w:val="44"/>
          <w:szCs w:val="44"/>
        </w:rPr>
      </w:pPr>
      <w:bookmarkStart w:id="0" w:name="_Toc11440_WPSOffice_Type2"/>
      <w:r>
        <w:rPr>
          <w:rFonts w:hint="eastAsia" w:ascii="黑体" w:hAnsi="黑体" w:eastAsia="黑体" w:cs="黑体"/>
          <w:sz w:val="44"/>
          <w:szCs w:val="44"/>
        </w:rPr>
        <w:t>目  录</w:t>
      </w:r>
    </w:p>
    <w:p>
      <w:pPr>
        <w:pStyle w:val="6"/>
        <w:tabs>
          <w:tab w:val="right" w:leader="dot" w:pos="8306"/>
        </w:tabs>
        <w:rPr>
          <w:sz w:val="32"/>
          <w:szCs w:val="32"/>
        </w:rPr>
      </w:pPr>
      <w:r>
        <w:fldChar w:fldCharType="begin"/>
      </w:r>
      <w:r>
        <w:instrText xml:space="preserve">HYPERLINK  \l "_Toc1704_WPSOffice_Level1" </w:instrText>
      </w:r>
      <w:r>
        <w:fldChar w:fldCharType="separate"/>
      </w:r>
      <w:r>
        <w:rPr>
          <w:rFonts w:hint="eastAsia" w:ascii="黑体" w:hAnsi="ˎ̥" w:eastAsia="黑体"/>
          <w:sz w:val="32"/>
          <w:szCs w:val="32"/>
        </w:rPr>
        <w:t>第一部分   海南省公安厅收容教育所概况</w:t>
      </w:r>
      <w:r>
        <w:rPr>
          <w:sz w:val="32"/>
          <w:szCs w:val="32"/>
        </w:rPr>
        <w:tab/>
      </w:r>
      <w:r>
        <w:rPr>
          <w:rFonts w:hint="eastAsia"/>
          <w:sz w:val="32"/>
          <w:szCs w:val="32"/>
        </w:rPr>
        <w:t>3</w:t>
      </w:r>
      <w:r>
        <w:fldChar w:fldCharType="end"/>
      </w:r>
    </w:p>
    <w:p>
      <w:pPr>
        <w:pStyle w:val="7"/>
        <w:tabs>
          <w:tab w:val="right" w:leader="dot" w:pos="8306"/>
        </w:tabs>
        <w:ind w:leftChars="0"/>
        <w:rPr>
          <w:rFonts w:ascii="仿宋" w:hAnsi="仿宋" w:eastAsia="仿宋" w:cs="仿宋"/>
          <w:sz w:val="32"/>
          <w:szCs w:val="32"/>
        </w:rPr>
      </w:pPr>
      <w:r>
        <w:fldChar w:fldCharType="begin"/>
      </w:r>
      <w:r>
        <w:instrText xml:space="preserve">HYPERLINK  \l "_Toc20274_WPSOffice_Level2" </w:instrText>
      </w:r>
      <w:r>
        <w:fldChar w:fldCharType="separate"/>
      </w:r>
      <w:r>
        <w:rPr>
          <w:rFonts w:hint="eastAsia" w:ascii="仿宋" w:hAnsi="仿宋" w:eastAsia="仿宋" w:cs="仿宋"/>
          <w:sz w:val="32"/>
          <w:szCs w:val="32"/>
        </w:rPr>
        <w:t>一、单位职责</w:t>
      </w:r>
      <w:r>
        <w:rPr>
          <w:rFonts w:hint="eastAsia" w:ascii="仿宋" w:hAnsi="仿宋" w:eastAsia="仿宋" w:cs="仿宋"/>
          <w:sz w:val="32"/>
          <w:szCs w:val="32"/>
        </w:rPr>
        <w:tab/>
      </w:r>
      <w:r>
        <w:rPr>
          <w:rFonts w:hint="eastAsia" w:ascii="仿宋" w:hAnsi="仿宋" w:eastAsia="仿宋" w:cs="仿宋"/>
          <w:sz w:val="32"/>
          <w:szCs w:val="32"/>
        </w:rPr>
        <w:t>3</w:t>
      </w:r>
      <w:r>
        <w:fldChar w:fldCharType="end"/>
      </w:r>
    </w:p>
    <w:p>
      <w:pPr>
        <w:pStyle w:val="7"/>
        <w:tabs>
          <w:tab w:val="right" w:leader="dot" w:pos="8306"/>
        </w:tabs>
        <w:ind w:leftChars="0"/>
        <w:rPr>
          <w:rFonts w:ascii="仿宋" w:hAnsi="仿宋" w:eastAsia="仿宋" w:cs="仿宋"/>
          <w:sz w:val="32"/>
          <w:szCs w:val="32"/>
        </w:rPr>
      </w:pPr>
      <w:r>
        <w:fldChar w:fldCharType="begin"/>
      </w:r>
      <w:r>
        <w:instrText xml:space="preserve">HYPERLINK  \l "_Toc4833_WPSOffice_Level2" </w:instrText>
      </w:r>
      <w:r>
        <w:fldChar w:fldCharType="separate"/>
      </w:r>
      <w:r>
        <w:rPr>
          <w:rFonts w:hint="eastAsia" w:ascii="仿宋" w:hAnsi="仿宋" w:eastAsia="仿宋" w:cs="仿宋"/>
          <w:sz w:val="32"/>
          <w:szCs w:val="32"/>
        </w:rPr>
        <w:t>二、机构设置</w:t>
      </w:r>
      <w:r>
        <w:rPr>
          <w:rFonts w:hint="eastAsia" w:ascii="仿宋" w:hAnsi="仿宋" w:eastAsia="仿宋" w:cs="仿宋"/>
          <w:sz w:val="32"/>
          <w:szCs w:val="32"/>
        </w:rPr>
        <w:tab/>
      </w:r>
      <w:r>
        <w:rPr>
          <w:rFonts w:hint="eastAsia" w:ascii="仿宋" w:hAnsi="仿宋" w:eastAsia="仿宋" w:cs="仿宋"/>
          <w:sz w:val="32"/>
          <w:szCs w:val="32"/>
        </w:rPr>
        <w:t>3</w:t>
      </w:r>
      <w:r>
        <w:fldChar w:fldCharType="end"/>
      </w:r>
    </w:p>
    <w:p>
      <w:pPr>
        <w:pStyle w:val="6"/>
        <w:tabs>
          <w:tab w:val="right" w:leader="dot" w:pos="8306"/>
        </w:tabs>
        <w:rPr>
          <w:sz w:val="32"/>
          <w:szCs w:val="32"/>
        </w:rPr>
      </w:pPr>
      <w:r>
        <w:fldChar w:fldCharType="begin"/>
      </w:r>
      <w:r>
        <w:instrText xml:space="preserve">HYPERLINK  \l "_Toc28253_WPSOffice_Level1" </w:instrText>
      </w:r>
      <w:r>
        <w:fldChar w:fldCharType="separate"/>
      </w:r>
      <w:r>
        <w:rPr>
          <w:rFonts w:hint="eastAsia" w:ascii="黑体" w:hAnsi="ˎ̥" w:eastAsia="黑体"/>
          <w:sz w:val="32"/>
          <w:szCs w:val="32"/>
        </w:rPr>
        <w:t>第二部分    海南省公安厅收容教育所2021年度决算公开表</w:t>
      </w:r>
      <w:r>
        <w:rPr>
          <w:sz w:val="32"/>
          <w:szCs w:val="32"/>
        </w:rPr>
        <w:tab/>
      </w:r>
      <w:r>
        <w:rPr>
          <w:rFonts w:hint="eastAsia"/>
          <w:sz w:val="32"/>
          <w:szCs w:val="32"/>
        </w:rPr>
        <w:t>3</w:t>
      </w:r>
      <w:r>
        <w:fldChar w:fldCharType="end"/>
      </w:r>
    </w:p>
    <w:p>
      <w:pPr>
        <w:pStyle w:val="7"/>
        <w:tabs>
          <w:tab w:val="right" w:leader="dot" w:pos="8306"/>
        </w:tabs>
        <w:ind w:leftChars="0"/>
        <w:rPr>
          <w:rFonts w:ascii="仿宋" w:hAnsi="仿宋" w:eastAsia="仿宋" w:cs="仿宋"/>
          <w:sz w:val="32"/>
          <w:szCs w:val="32"/>
        </w:rPr>
      </w:pPr>
      <w:r>
        <w:fldChar w:fldCharType="begin"/>
      </w:r>
      <w:r>
        <w:instrText xml:space="preserve">HYPERLINK  \l "_Toc11518_WPSOffice_Level2" </w:instrText>
      </w:r>
      <w:r>
        <w:fldChar w:fldCharType="separate"/>
      </w:r>
      <w:r>
        <w:rPr>
          <w:rFonts w:hint="eastAsia" w:ascii="仿宋" w:hAnsi="仿宋" w:eastAsia="仿宋" w:cs="仿宋"/>
          <w:sz w:val="32"/>
          <w:szCs w:val="32"/>
        </w:rPr>
        <w:t>一、收入支出决算公开表</w:t>
      </w:r>
      <w:r>
        <w:rPr>
          <w:rFonts w:hint="eastAsia" w:ascii="仿宋" w:hAnsi="仿宋" w:eastAsia="仿宋" w:cs="仿宋"/>
          <w:sz w:val="32"/>
          <w:szCs w:val="32"/>
        </w:rPr>
        <w:tab/>
      </w:r>
      <w:r>
        <w:rPr>
          <w:rFonts w:hint="eastAsia" w:ascii="仿宋" w:hAnsi="仿宋" w:eastAsia="仿宋" w:cs="仿宋"/>
          <w:sz w:val="32"/>
          <w:szCs w:val="32"/>
        </w:rPr>
        <w:t>3</w:t>
      </w:r>
      <w:r>
        <w:fldChar w:fldCharType="end"/>
      </w:r>
    </w:p>
    <w:p>
      <w:pPr>
        <w:pStyle w:val="7"/>
        <w:tabs>
          <w:tab w:val="right" w:leader="dot" w:pos="8306"/>
        </w:tabs>
        <w:ind w:leftChars="0"/>
        <w:rPr>
          <w:rFonts w:ascii="仿宋" w:hAnsi="仿宋" w:eastAsia="仿宋" w:cs="仿宋"/>
          <w:sz w:val="32"/>
          <w:szCs w:val="32"/>
        </w:rPr>
      </w:pPr>
      <w:r>
        <w:fldChar w:fldCharType="begin"/>
      </w:r>
      <w:r>
        <w:instrText xml:space="preserve">HYPERLINK  \l "_Toc28622_WPSOffice_Level2" </w:instrText>
      </w:r>
      <w:r>
        <w:fldChar w:fldCharType="separate"/>
      </w:r>
      <w:r>
        <w:rPr>
          <w:rFonts w:hint="eastAsia" w:ascii="仿宋" w:hAnsi="仿宋" w:eastAsia="仿宋" w:cs="仿宋"/>
          <w:sz w:val="32"/>
          <w:szCs w:val="32"/>
        </w:rPr>
        <w:t>二、收入决算公开表</w:t>
      </w:r>
      <w:r>
        <w:rPr>
          <w:rFonts w:hint="eastAsia" w:ascii="仿宋" w:hAnsi="仿宋" w:eastAsia="仿宋" w:cs="仿宋"/>
          <w:sz w:val="32"/>
          <w:szCs w:val="32"/>
        </w:rPr>
        <w:tab/>
      </w:r>
      <w:r>
        <w:rPr>
          <w:rFonts w:hint="eastAsia" w:ascii="仿宋" w:hAnsi="仿宋" w:eastAsia="仿宋" w:cs="仿宋"/>
          <w:sz w:val="32"/>
          <w:szCs w:val="32"/>
        </w:rPr>
        <w:t>3</w:t>
      </w:r>
      <w:r>
        <w:fldChar w:fldCharType="end"/>
      </w:r>
    </w:p>
    <w:p>
      <w:pPr>
        <w:pStyle w:val="7"/>
        <w:tabs>
          <w:tab w:val="right" w:leader="dot" w:pos="8306"/>
        </w:tabs>
        <w:ind w:leftChars="0"/>
        <w:rPr>
          <w:rFonts w:ascii="仿宋" w:hAnsi="仿宋" w:eastAsia="仿宋" w:cs="仿宋"/>
          <w:sz w:val="32"/>
          <w:szCs w:val="32"/>
        </w:rPr>
      </w:pPr>
      <w:r>
        <w:fldChar w:fldCharType="begin"/>
      </w:r>
      <w:r>
        <w:instrText xml:space="preserve">HYPERLINK  \l "_Toc5489_WPSOffice_Level2" </w:instrText>
      </w:r>
      <w:r>
        <w:fldChar w:fldCharType="separate"/>
      </w:r>
      <w:r>
        <w:rPr>
          <w:rFonts w:hint="eastAsia" w:ascii="仿宋" w:hAnsi="仿宋" w:eastAsia="仿宋" w:cs="仿宋"/>
          <w:sz w:val="32"/>
          <w:szCs w:val="32"/>
        </w:rPr>
        <w:t>三、支出决算公开表</w:t>
      </w:r>
      <w:r>
        <w:rPr>
          <w:rFonts w:hint="eastAsia" w:ascii="仿宋" w:hAnsi="仿宋" w:eastAsia="仿宋" w:cs="仿宋"/>
          <w:sz w:val="32"/>
          <w:szCs w:val="32"/>
        </w:rPr>
        <w:tab/>
      </w:r>
      <w:r>
        <w:rPr>
          <w:rFonts w:hint="eastAsia" w:ascii="仿宋" w:hAnsi="仿宋" w:eastAsia="仿宋" w:cs="仿宋"/>
          <w:sz w:val="32"/>
          <w:szCs w:val="32"/>
        </w:rPr>
        <w:t>3</w:t>
      </w:r>
      <w:r>
        <w:fldChar w:fldCharType="end"/>
      </w:r>
    </w:p>
    <w:p>
      <w:pPr>
        <w:pStyle w:val="7"/>
        <w:tabs>
          <w:tab w:val="right" w:leader="dot" w:pos="8306"/>
        </w:tabs>
        <w:ind w:leftChars="0"/>
        <w:rPr>
          <w:rFonts w:ascii="仿宋" w:hAnsi="仿宋" w:eastAsia="仿宋" w:cs="仿宋"/>
          <w:sz w:val="32"/>
          <w:szCs w:val="32"/>
        </w:rPr>
      </w:pPr>
      <w:r>
        <w:fldChar w:fldCharType="begin"/>
      </w:r>
      <w:r>
        <w:instrText xml:space="preserve">HYPERLINK  \l "_Toc23493_WPSOffice_Level2" </w:instrText>
      </w:r>
      <w:r>
        <w:fldChar w:fldCharType="separate"/>
      </w:r>
      <w:r>
        <w:rPr>
          <w:rFonts w:hint="eastAsia" w:ascii="仿宋" w:hAnsi="仿宋" w:eastAsia="仿宋" w:cs="仿宋"/>
          <w:sz w:val="32"/>
          <w:szCs w:val="32"/>
        </w:rPr>
        <w:t>四、财政拨款收入支出决算公开表</w:t>
      </w:r>
      <w:r>
        <w:rPr>
          <w:rFonts w:hint="eastAsia" w:ascii="仿宋" w:hAnsi="仿宋" w:eastAsia="仿宋" w:cs="仿宋"/>
          <w:sz w:val="32"/>
          <w:szCs w:val="32"/>
        </w:rPr>
        <w:tab/>
      </w:r>
      <w:r>
        <w:rPr>
          <w:rFonts w:hint="eastAsia" w:ascii="仿宋" w:hAnsi="仿宋" w:eastAsia="仿宋" w:cs="仿宋"/>
          <w:sz w:val="32"/>
          <w:szCs w:val="32"/>
        </w:rPr>
        <w:t>3</w:t>
      </w:r>
      <w:r>
        <w:fldChar w:fldCharType="end"/>
      </w:r>
    </w:p>
    <w:p>
      <w:pPr>
        <w:pStyle w:val="7"/>
        <w:tabs>
          <w:tab w:val="right" w:leader="dot" w:pos="8306"/>
        </w:tabs>
        <w:ind w:leftChars="0"/>
        <w:rPr>
          <w:rFonts w:ascii="仿宋" w:hAnsi="仿宋" w:eastAsia="仿宋" w:cs="仿宋"/>
          <w:sz w:val="32"/>
          <w:szCs w:val="32"/>
        </w:rPr>
      </w:pPr>
      <w:r>
        <w:fldChar w:fldCharType="begin"/>
      </w:r>
      <w:r>
        <w:instrText xml:space="preserve">HYPERLINK  \l "_Toc7879_WPSOffice_Level2" </w:instrText>
      </w:r>
      <w:r>
        <w:fldChar w:fldCharType="separate"/>
      </w:r>
      <w:r>
        <w:rPr>
          <w:rFonts w:hint="eastAsia" w:ascii="仿宋" w:hAnsi="仿宋" w:eastAsia="仿宋" w:cs="仿宋"/>
          <w:sz w:val="32"/>
          <w:szCs w:val="32"/>
        </w:rPr>
        <w:t>五、一般公共预算财政拨款收入支出决算公开表</w:t>
      </w:r>
      <w:r>
        <w:rPr>
          <w:rFonts w:hint="eastAsia" w:ascii="仿宋" w:hAnsi="仿宋" w:eastAsia="仿宋" w:cs="仿宋"/>
          <w:sz w:val="32"/>
          <w:szCs w:val="32"/>
        </w:rPr>
        <w:tab/>
      </w:r>
      <w:r>
        <w:rPr>
          <w:rFonts w:hint="eastAsia" w:ascii="仿宋" w:hAnsi="仿宋" w:eastAsia="仿宋" w:cs="仿宋"/>
          <w:sz w:val="32"/>
          <w:szCs w:val="32"/>
        </w:rPr>
        <w:t>3</w:t>
      </w:r>
      <w:r>
        <w:fldChar w:fldCharType="end"/>
      </w:r>
    </w:p>
    <w:p>
      <w:pPr>
        <w:pStyle w:val="7"/>
        <w:tabs>
          <w:tab w:val="right" w:leader="dot" w:pos="8306"/>
        </w:tabs>
        <w:ind w:leftChars="0"/>
        <w:rPr>
          <w:rFonts w:ascii="仿宋" w:hAnsi="仿宋" w:eastAsia="仿宋" w:cs="仿宋"/>
          <w:sz w:val="32"/>
          <w:szCs w:val="32"/>
        </w:rPr>
      </w:pPr>
      <w:r>
        <w:fldChar w:fldCharType="begin"/>
      </w:r>
      <w:r>
        <w:instrText xml:space="preserve">HYPERLINK  \l "_Toc8373_WPSOffice_Level2" </w:instrText>
      </w:r>
      <w:r>
        <w:fldChar w:fldCharType="separate"/>
      </w:r>
      <w:r>
        <w:rPr>
          <w:rFonts w:hint="eastAsia" w:ascii="仿宋" w:hAnsi="仿宋" w:eastAsia="仿宋" w:cs="仿宋"/>
          <w:sz w:val="32"/>
          <w:szCs w:val="32"/>
        </w:rPr>
        <w:t>六、一般公共预算财政拨款基本支出决算公开表</w:t>
      </w:r>
      <w:r>
        <w:rPr>
          <w:rFonts w:hint="eastAsia" w:ascii="仿宋" w:hAnsi="仿宋" w:eastAsia="仿宋" w:cs="仿宋"/>
          <w:sz w:val="32"/>
          <w:szCs w:val="32"/>
        </w:rPr>
        <w:tab/>
      </w:r>
      <w:r>
        <w:rPr>
          <w:rFonts w:hint="eastAsia" w:ascii="仿宋" w:hAnsi="仿宋" w:eastAsia="仿宋" w:cs="仿宋"/>
          <w:sz w:val="32"/>
          <w:szCs w:val="32"/>
        </w:rPr>
        <w:t>3</w:t>
      </w:r>
      <w:r>
        <w:fldChar w:fldCharType="end"/>
      </w:r>
    </w:p>
    <w:p>
      <w:pPr>
        <w:pStyle w:val="7"/>
        <w:tabs>
          <w:tab w:val="right" w:leader="dot" w:pos="8306"/>
        </w:tabs>
        <w:ind w:leftChars="0"/>
        <w:rPr>
          <w:rFonts w:ascii="仿宋" w:hAnsi="仿宋" w:eastAsia="仿宋" w:cs="仿宋"/>
          <w:sz w:val="32"/>
          <w:szCs w:val="32"/>
        </w:rPr>
      </w:pPr>
      <w:r>
        <w:fldChar w:fldCharType="begin"/>
      </w:r>
      <w:r>
        <w:instrText xml:space="preserve">HYPERLINK  \l "_Toc1820_WPSOffice_Level2" </w:instrText>
      </w:r>
      <w:r>
        <w:fldChar w:fldCharType="separate"/>
      </w:r>
      <w:r>
        <w:rPr>
          <w:rFonts w:hint="eastAsia" w:ascii="仿宋" w:hAnsi="仿宋" w:eastAsia="仿宋" w:cs="仿宋"/>
          <w:sz w:val="32"/>
          <w:szCs w:val="32"/>
        </w:rPr>
        <w:t>七、政府性基金预算财政拨款收入支出决算公开表</w:t>
      </w:r>
      <w:r>
        <w:rPr>
          <w:rFonts w:hint="eastAsia" w:ascii="仿宋" w:hAnsi="仿宋" w:eastAsia="仿宋" w:cs="仿宋"/>
          <w:sz w:val="32"/>
          <w:szCs w:val="32"/>
        </w:rPr>
        <w:tab/>
      </w:r>
      <w:r>
        <w:rPr>
          <w:rFonts w:hint="eastAsia" w:ascii="仿宋" w:hAnsi="仿宋" w:eastAsia="仿宋" w:cs="仿宋"/>
          <w:sz w:val="32"/>
          <w:szCs w:val="32"/>
        </w:rPr>
        <w:t>3</w:t>
      </w:r>
      <w:r>
        <w:fldChar w:fldCharType="end"/>
      </w:r>
    </w:p>
    <w:p>
      <w:pPr>
        <w:pStyle w:val="7"/>
        <w:tabs>
          <w:tab w:val="right" w:leader="dot" w:pos="8306"/>
        </w:tabs>
        <w:ind w:leftChars="0"/>
        <w:rPr>
          <w:rFonts w:ascii="仿宋" w:hAnsi="仿宋" w:eastAsia="仿宋" w:cs="仿宋"/>
          <w:sz w:val="32"/>
          <w:szCs w:val="32"/>
        </w:rPr>
      </w:pPr>
      <w:r>
        <w:fldChar w:fldCharType="begin"/>
      </w:r>
      <w:r>
        <w:instrText xml:space="preserve">HYPERLINK  \l "_Toc1820_WPSOffice_Level2" </w:instrText>
      </w:r>
      <w:r>
        <w:fldChar w:fldCharType="separate"/>
      </w:r>
      <w:r>
        <w:rPr>
          <w:rFonts w:hint="eastAsia" w:ascii="仿宋" w:hAnsi="仿宋" w:eastAsia="仿宋" w:cs="仿宋"/>
          <w:sz w:val="32"/>
          <w:szCs w:val="32"/>
        </w:rPr>
        <w:t>八、国有资本经营预算财政拨款收入支出决算公开表</w:t>
      </w:r>
      <w:r>
        <w:rPr>
          <w:rFonts w:hint="eastAsia" w:ascii="仿宋" w:hAnsi="仿宋" w:eastAsia="仿宋" w:cs="仿宋"/>
          <w:sz w:val="32"/>
          <w:szCs w:val="32"/>
        </w:rPr>
        <w:tab/>
      </w:r>
      <w:r>
        <w:rPr>
          <w:rFonts w:hint="eastAsia" w:ascii="仿宋" w:hAnsi="仿宋" w:eastAsia="仿宋" w:cs="仿宋"/>
          <w:sz w:val="32"/>
          <w:szCs w:val="32"/>
        </w:rPr>
        <w:t>3</w:t>
      </w:r>
      <w:r>
        <w:fldChar w:fldCharType="end"/>
      </w:r>
    </w:p>
    <w:p>
      <w:pPr>
        <w:pStyle w:val="7"/>
        <w:tabs>
          <w:tab w:val="right" w:leader="dot" w:pos="8306"/>
        </w:tabs>
        <w:ind w:leftChars="0"/>
        <w:rPr>
          <w:rFonts w:ascii="仿宋" w:hAnsi="仿宋" w:eastAsia="仿宋" w:cs="仿宋"/>
          <w:sz w:val="32"/>
          <w:szCs w:val="32"/>
        </w:rPr>
      </w:pPr>
      <w:r>
        <w:fldChar w:fldCharType="begin"/>
      </w:r>
      <w:r>
        <w:instrText xml:space="preserve">HYPERLINK  \l "_Toc21310_WPSOffice_Level2" </w:instrText>
      </w:r>
      <w:r>
        <w:fldChar w:fldCharType="separate"/>
      </w:r>
      <w:r>
        <w:rPr>
          <w:rFonts w:hint="eastAsia" w:ascii="仿宋" w:hAnsi="仿宋" w:eastAsia="仿宋" w:cs="仿宋"/>
          <w:sz w:val="32"/>
          <w:szCs w:val="32"/>
        </w:rPr>
        <w:t>九、一般公共预算财政拨款“三公”经费支出决算公开表</w:t>
      </w:r>
      <w:r>
        <w:rPr>
          <w:rFonts w:hint="eastAsia" w:ascii="仿宋" w:hAnsi="仿宋" w:eastAsia="仿宋" w:cs="仿宋"/>
          <w:sz w:val="32"/>
          <w:szCs w:val="32"/>
        </w:rPr>
        <w:tab/>
      </w:r>
      <w:r>
        <w:rPr>
          <w:rFonts w:hint="eastAsia" w:ascii="仿宋" w:hAnsi="仿宋" w:eastAsia="仿宋" w:cs="仿宋"/>
          <w:sz w:val="32"/>
          <w:szCs w:val="32"/>
        </w:rPr>
        <w:t>3</w:t>
      </w:r>
      <w:r>
        <w:fldChar w:fldCharType="end"/>
      </w:r>
    </w:p>
    <w:p>
      <w:pPr>
        <w:pStyle w:val="7"/>
        <w:tabs>
          <w:tab w:val="right" w:leader="dot" w:pos="8306"/>
        </w:tabs>
        <w:ind w:leftChars="0"/>
        <w:rPr>
          <w:rFonts w:ascii="仿宋" w:hAnsi="仿宋" w:eastAsia="仿宋" w:cs="仿宋"/>
          <w:sz w:val="32"/>
          <w:szCs w:val="32"/>
        </w:rPr>
      </w:pPr>
      <w:r>
        <w:fldChar w:fldCharType="begin"/>
      </w:r>
      <w:r>
        <w:instrText xml:space="preserve">HYPERLINK  \l "_Toc21310_WPSOffice_Level2" </w:instrText>
      </w:r>
      <w:r>
        <w:fldChar w:fldCharType="separate"/>
      </w:r>
      <w:r>
        <w:rPr>
          <w:rFonts w:hint="eastAsia" w:ascii="仿宋" w:hAnsi="仿宋" w:eastAsia="仿宋" w:cs="仿宋"/>
          <w:sz w:val="32"/>
          <w:szCs w:val="32"/>
        </w:rPr>
        <w:t>十、政府性基金预算财政拨款“三公”经费支出决算公开表</w:t>
      </w:r>
      <w:r>
        <w:rPr>
          <w:rFonts w:hint="eastAsia" w:ascii="仿宋" w:hAnsi="仿宋" w:eastAsia="仿宋" w:cs="仿宋"/>
          <w:sz w:val="32"/>
          <w:szCs w:val="32"/>
        </w:rPr>
        <w:tab/>
      </w:r>
      <w:r>
        <w:fldChar w:fldCharType="end"/>
      </w:r>
      <w:r>
        <w:rPr>
          <w:rFonts w:hint="eastAsia" w:ascii="仿宋" w:hAnsi="仿宋" w:eastAsia="仿宋" w:cs="仿宋"/>
          <w:sz w:val="32"/>
          <w:szCs w:val="32"/>
        </w:rPr>
        <w:t>3</w:t>
      </w:r>
    </w:p>
    <w:p>
      <w:pPr>
        <w:pStyle w:val="7"/>
        <w:tabs>
          <w:tab w:val="right" w:leader="dot" w:pos="8306"/>
        </w:tabs>
        <w:ind w:leftChars="0"/>
        <w:rPr>
          <w:rFonts w:ascii="仿宋" w:hAnsi="仿宋" w:eastAsia="仿宋" w:cs="仿宋"/>
          <w:sz w:val="32"/>
          <w:szCs w:val="32"/>
        </w:rPr>
      </w:pPr>
      <w:r>
        <w:fldChar w:fldCharType="begin"/>
      </w:r>
      <w:r>
        <w:instrText xml:space="preserve">HYPERLINK  \l "_Toc21310_WPSOffice_Level2" </w:instrText>
      </w:r>
      <w:r>
        <w:fldChar w:fldCharType="separate"/>
      </w:r>
      <w:r>
        <w:rPr>
          <w:rFonts w:hint="eastAsia" w:ascii="仿宋" w:hAnsi="仿宋" w:eastAsia="仿宋" w:cs="仿宋"/>
          <w:sz w:val="32"/>
          <w:szCs w:val="32"/>
        </w:rPr>
        <w:t>十一、国有资本经营预算财政拨款“三公”经费支出决算公开表</w:t>
      </w:r>
      <w:r>
        <w:rPr>
          <w:rFonts w:hint="eastAsia" w:ascii="仿宋" w:hAnsi="仿宋" w:eastAsia="仿宋" w:cs="仿宋"/>
          <w:sz w:val="32"/>
          <w:szCs w:val="32"/>
        </w:rPr>
        <w:tab/>
      </w:r>
      <w:r>
        <w:rPr>
          <w:rFonts w:hint="eastAsia" w:ascii="仿宋" w:hAnsi="仿宋" w:eastAsia="仿宋" w:cs="仿宋"/>
          <w:sz w:val="32"/>
          <w:szCs w:val="32"/>
        </w:rPr>
        <w:t>3</w:t>
      </w:r>
      <w:r>
        <w:fldChar w:fldCharType="end"/>
      </w:r>
    </w:p>
    <w:p>
      <w:pPr>
        <w:pStyle w:val="6"/>
        <w:tabs>
          <w:tab w:val="right" w:leader="dot" w:pos="8306"/>
        </w:tabs>
        <w:rPr>
          <w:sz w:val="32"/>
          <w:szCs w:val="32"/>
        </w:rPr>
      </w:pPr>
      <w:r>
        <w:fldChar w:fldCharType="begin"/>
      </w:r>
      <w:r>
        <w:instrText xml:space="preserve">HYPERLINK  \l "_Toc27590_WPSOffice_Level1" </w:instrText>
      </w:r>
      <w:r>
        <w:fldChar w:fldCharType="separate"/>
      </w:r>
      <w:r>
        <w:rPr>
          <w:rFonts w:hint="eastAsia" w:ascii="黑体" w:hAnsi="黑体" w:eastAsia="黑体" w:cs="黑体"/>
          <w:sz w:val="32"/>
          <w:szCs w:val="32"/>
        </w:rPr>
        <w:t>第三部分</w:t>
      </w:r>
      <w:r>
        <w:rPr>
          <w:rFonts w:hint="eastAsia"/>
          <w:sz w:val="32"/>
          <w:szCs w:val="32"/>
        </w:rPr>
        <w:t xml:space="preserve">  </w:t>
      </w:r>
      <w:r>
        <w:rPr>
          <w:rFonts w:hint="eastAsia" w:ascii="黑体" w:hAnsi="ˎ̥" w:eastAsia="黑体"/>
          <w:sz w:val="32"/>
          <w:szCs w:val="32"/>
        </w:rPr>
        <w:t xml:space="preserve"> 海南省公安厅收容教育所2021年度决算情况说明</w:t>
      </w:r>
      <w:r>
        <w:rPr>
          <w:sz w:val="32"/>
          <w:szCs w:val="32"/>
        </w:rPr>
        <w:tab/>
      </w:r>
      <w:r>
        <w:rPr>
          <w:rFonts w:hint="eastAsia"/>
          <w:sz w:val="32"/>
          <w:szCs w:val="32"/>
        </w:rPr>
        <w:t>4</w:t>
      </w:r>
      <w:r>
        <w:fldChar w:fldCharType="end"/>
      </w:r>
    </w:p>
    <w:p>
      <w:pPr>
        <w:pStyle w:val="7"/>
        <w:tabs>
          <w:tab w:val="right" w:leader="dot" w:pos="8306"/>
        </w:tabs>
        <w:ind w:left="0" w:leftChars="0"/>
        <w:rPr>
          <w:rFonts w:ascii="仿宋" w:hAnsi="仿宋" w:eastAsia="仿宋" w:cs="仿宋"/>
          <w:sz w:val="32"/>
          <w:szCs w:val="32"/>
        </w:rPr>
      </w:pPr>
      <w:r>
        <w:rPr>
          <w:rFonts w:hint="eastAsia" w:ascii="仿宋" w:hAnsi="仿宋" w:eastAsia="仿宋" w:cs="仿宋"/>
          <w:sz w:val="32"/>
          <w:szCs w:val="32"/>
        </w:rPr>
        <w:t>一、</w:t>
      </w:r>
      <w:r>
        <w:fldChar w:fldCharType="begin"/>
      </w:r>
      <w:r>
        <w:instrText xml:space="preserve">HYPERLINK  \l "_Toc21737_WPSOffice_Level2" </w:instrText>
      </w:r>
      <w:r>
        <w:fldChar w:fldCharType="separate"/>
      </w:r>
      <w:r>
        <w:rPr>
          <w:rFonts w:hint="eastAsia" w:ascii="仿宋" w:hAnsi="仿宋" w:eastAsia="仿宋" w:cs="仿宋"/>
          <w:sz w:val="32"/>
          <w:szCs w:val="32"/>
        </w:rPr>
        <w:t>收入支出决算总体情况说明</w:t>
      </w:r>
      <w:r>
        <w:rPr>
          <w:rFonts w:hint="eastAsia" w:ascii="仿宋" w:hAnsi="仿宋" w:eastAsia="仿宋" w:cs="仿宋"/>
          <w:sz w:val="32"/>
          <w:szCs w:val="32"/>
        </w:rPr>
        <w:tab/>
      </w:r>
      <w:r>
        <w:rPr>
          <w:rFonts w:hint="eastAsia" w:ascii="仿宋" w:hAnsi="仿宋" w:eastAsia="仿宋" w:cs="仿宋"/>
          <w:sz w:val="32"/>
          <w:szCs w:val="32"/>
        </w:rPr>
        <w:t>4</w:t>
      </w:r>
      <w:r>
        <w:fldChar w:fldCharType="end"/>
      </w:r>
    </w:p>
    <w:p>
      <w:pPr>
        <w:pStyle w:val="7"/>
        <w:tabs>
          <w:tab w:val="right" w:leader="dot" w:pos="8306"/>
        </w:tabs>
        <w:ind w:left="0" w:leftChars="0"/>
        <w:rPr>
          <w:rFonts w:ascii="仿宋" w:hAnsi="仿宋" w:eastAsia="仿宋" w:cs="仿宋"/>
          <w:sz w:val="32"/>
          <w:szCs w:val="32"/>
        </w:rPr>
      </w:pPr>
      <w:r>
        <w:rPr>
          <w:rFonts w:hint="eastAsia" w:ascii="仿宋" w:hAnsi="仿宋" w:eastAsia="仿宋" w:cs="仿宋"/>
          <w:sz w:val="32"/>
          <w:szCs w:val="32"/>
        </w:rPr>
        <w:t>二、</w:t>
      </w:r>
      <w:r>
        <w:fldChar w:fldCharType="begin"/>
      </w:r>
      <w:r>
        <w:instrText xml:space="preserve">HYPERLINK  \l "_Toc19535_WPSOffice_Level2" </w:instrText>
      </w:r>
      <w:r>
        <w:fldChar w:fldCharType="separate"/>
      </w:r>
      <w:r>
        <w:rPr>
          <w:rFonts w:hint="eastAsia" w:ascii="仿宋" w:hAnsi="仿宋" w:eastAsia="仿宋" w:cs="仿宋"/>
          <w:sz w:val="32"/>
          <w:szCs w:val="32"/>
        </w:rPr>
        <w:t>收入决算情况说明</w:t>
      </w:r>
      <w:r>
        <w:rPr>
          <w:rFonts w:hint="eastAsia" w:ascii="仿宋" w:hAnsi="仿宋" w:eastAsia="仿宋" w:cs="仿宋"/>
          <w:sz w:val="32"/>
          <w:szCs w:val="32"/>
        </w:rPr>
        <w:tab/>
      </w:r>
      <w:r>
        <w:rPr>
          <w:rFonts w:hint="eastAsia" w:ascii="仿宋" w:hAnsi="仿宋" w:eastAsia="仿宋" w:cs="仿宋"/>
          <w:sz w:val="32"/>
          <w:szCs w:val="32"/>
        </w:rPr>
        <w:t>5</w:t>
      </w:r>
      <w:r>
        <w:fldChar w:fldCharType="end"/>
      </w:r>
    </w:p>
    <w:p>
      <w:pPr>
        <w:pStyle w:val="7"/>
        <w:tabs>
          <w:tab w:val="right" w:leader="dot" w:pos="8306"/>
        </w:tabs>
        <w:ind w:left="0" w:leftChars="0"/>
        <w:rPr>
          <w:rFonts w:ascii="仿宋" w:hAnsi="仿宋" w:eastAsia="仿宋" w:cs="仿宋"/>
          <w:sz w:val="32"/>
          <w:szCs w:val="32"/>
        </w:rPr>
      </w:pPr>
      <w:r>
        <w:rPr>
          <w:rFonts w:hint="eastAsia" w:ascii="仿宋" w:hAnsi="仿宋" w:eastAsia="仿宋" w:cs="仿宋"/>
          <w:sz w:val="32"/>
          <w:szCs w:val="32"/>
        </w:rPr>
        <w:t>三、</w:t>
      </w:r>
      <w:r>
        <w:fldChar w:fldCharType="begin"/>
      </w:r>
      <w:r>
        <w:instrText xml:space="preserve">HYPERLINK  \l "_Toc19535_WPSOffice_Level2" </w:instrText>
      </w:r>
      <w:r>
        <w:fldChar w:fldCharType="separate"/>
      </w:r>
      <w:r>
        <w:rPr>
          <w:rFonts w:hint="eastAsia" w:ascii="仿宋" w:hAnsi="仿宋" w:eastAsia="仿宋" w:cs="仿宋"/>
          <w:sz w:val="32"/>
          <w:szCs w:val="32"/>
        </w:rPr>
        <w:t>支出决算情况说明</w:t>
      </w:r>
      <w:r>
        <w:rPr>
          <w:rFonts w:hint="eastAsia" w:ascii="仿宋" w:hAnsi="仿宋" w:eastAsia="仿宋" w:cs="仿宋"/>
          <w:sz w:val="32"/>
          <w:szCs w:val="32"/>
        </w:rPr>
        <w:tab/>
      </w:r>
      <w:r>
        <w:rPr>
          <w:rFonts w:hint="eastAsia" w:ascii="仿宋" w:hAnsi="仿宋" w:eastAsia="仿宋" w:cs="仿宋"/>
          <w:sz w:val="32"/>
          <w:szCs w:val="32"/>
        </w:rPr>
        <w:t>5</w:t>
      </w:r>
      <w:r>
        <w:fldChar w:fldCharType="end"/>
      </w:r>
    </w:p>
    <w:p>
      <w:pPr>
        <w:pStyle w:val="7"/>
        <w:tabs>
          <w:tab w:val="right" w:leader="dot" w:pos="8306"/>
        </w:tabs>
        <w:ind w:left="0" w:leftChars="0"/>
        <w:rPr>
          <w:rFonts w:ascii="仿宋" w:hAnsi="仿宋" w:eastAsia="仿宋" w:cs="仿宋"/>
          <w:sz w:val="32"/>
          <w:szCs w:val="32"/>
        </w:rPr>
      </w:pPr>
      <w:r>
        <w:fldChar w:fldCharType="begin"/>
      </w:r>
      <w:r>
        <w:instrText xml:space="preserve">HYPERLINK  \l "_Toc19535_WPSOffice_Level2" </w:instrText>
      </w:r>
      <w:r>
        <w:fldChar w:fldCharType="separate"/>
      </w:r>
      <w:r>
        <w:rPr>
          <w:rFonts w:hint="eastAsia" w:ascii="仿宋" w:hAnsi="仿宋" w:eastAsia="仿宋" w:cs="仿宋"/>
          <w:bCs/>
          <w:sz w:val="32"/>
          <w:szCs w:val="32"/>
        </w:rPr>
        <w:t>四、财政拨款收入支出决算情况说明</w:t>
      </w:r>
      <w:r>
        <w:rPr>
          <w:rFonts w:hint="eastAsia" w:ascii="仿宋" w:hAnsi="仿宋" w:eastAsia="仿宋" w:cs="仿宋"/>
          <w:sz w:val="32"/>
          <w:szCs w:val="32"/>
        </w:rPr>
        <w:tab/>
      </w:r>
      <w:r>
        <w:rPr>
          <w:rFonts w:hint="eastAsia" w:ascii="仿宋" w:hAnsi="仿宋" w:eastAsia="仿宋" w:cs="仿宋"/>
          <w:sz w:val="32"/>
          <w:szCs w:val="32"/>
        </w:rPr>
        <w:t>5</w:t>
      </w:r>
      <w:r>
        <w:fldChar w:fldCharType="end"/>
      </w:r>
    </w:p>
    <w:p>
      <w:pPr>
        <w:pStyle w:val="7"/>
        <w:tabs>
          <w:tab w:val="right" w:leader="dot" w:pos="8306"/>
        </w:tabs>
        <w:ind w:left="0" w:leftChars="0"/>
      </w:pPr>
      <w:r>
        <w:rPr>
          <w:rFonts w:hint="eastAsia" w:ascii="仿宋" w:hAnsi="仿宋" w:eastAsia="仿宋" w:cs="仿宋"/>
          <w:sz w:val="32"/>
          <w:szCs w:val="32"/>
        </w:rPr>
        <w:t>五、</w:t>
      </w:r>
      <w:r>
        <w:fldChar w:fldCharType="begin"/>
      </w:r>
      <w:r>
        <w:instrText xml:space="preserve">HYPERLINK  \l "_Toc19535_WPSOffice_Level2" </w:instrText>
      </w:r>
      <w:r>
        <w:fldChar w:fldCharType="separate"/>
      </w:r>
      <w:r>
        <w:rPr>
          <w:rFonts w:hint="eastAsia" w:ascii="仿宋" w:hAnsi="仿宋" w:eastAsia="仿宋" w:cs="仿宋"/>
          <w:bCs/>
          <w:sz w:val="32"/>
          <w:szCs w:val="32"/>
        </w:rPr>
        <w:t>一般公共预算财政拨款支出决算情况说明</w:t>
      </w:r>
      <w:r>
        <w:rPr>
          <w:rFonts w:hint="eastAsia" w:ascii="仿宋" w:hAnsi="仿宋" w:eastAsia="仿宋" w:cs="仿宋"/>
          <w:sz w:val="32"/>
          <w:szCs w:val="32"/>
        </w:rPr>
        <w:tab/>
      </w:r>
      <w:r>
        <w:rPr>
          <w:rFonts w:hint="eastAsia" w:ascii="仿宋" w:hAnsi="仿宋" w:eastAsia="仿宋" w:cs="仿宋"/>
          <w:sz w:val="32"/>
          <w:szCs w:val="32"/>
        </w:rPr>
        <w:t>5</w:t>
      </w:r>
      <w:r>
        <w:fldChar w:fldCharType="end"/>
      </w:r>
    </w:p>
    <w:p>
      <w:pPr>
        <w:pStyle w:val="7"/>
        <w:tabs>
          <w:tab w:val="right" w:leader="dot" w:pos="8306"/>
        </w:tabs>
        <w:ind w:left="0" w:leftChars="0"/>
        <w:rPr>
          <w:rFonts w:ascii="仿宋" w:hAnsi="仿宋" w:eastAsia="仿宋" w:cs="仿宋"/>
          <w:sz w:val="32"/>
          <w:szCs w:val="32"/>
        </w:rPr>
      </w:pPr>
      <w:r>
        <w:rPr>
          <w:rFonts w:hint="eastAsia" w:ascii="仿宋" w:hAnsi="仿宋" w:eastAsia="仿宋" w:cs="仿宋"/>
          <w:sz w:val="32"/>
          <w:szCs w:val="32"/>
        </w:rPr>
        <w:t>六、一</w:t>
      </w:r>
      <w:r>
        <w:fldChar w:fldCharType="begin"/>
      </w:r>
      <w:r>
        <w:instrText xml:space="preserve">HYPERLINK  \l "_Toc19535_WPSOffice_Level2" </w:instrText>
      </w:r>
      <w:r>
        <w:fldChar w:fldCharType="separate"/>
      </w:r>
      <w:r>
        <w:rPr>
          <w:rFonts w:hint="eastAsia" w:ascii="仿宋" w:hAnsi="仿宋" w:eastAsia="仿宋" w:cs="仿宋"/>
          <w:sz w:val="32"/>
          <w:szCs w:val="32"/>
        </w:rPr>
        <w:t>般公共预算财政拨款基本支出决算情况说明</w:t>
      </w:r>
      <w:r>
        <w:fldChar w:fldCharType="end"/>
      </w:r>
      <w:r>
        <w:rPr>
          <w:rFonts w:hint="eastAsia" w:ascii="仿宋" w:hAnsi="仿宋" w:eastAsia="仿宋" w:cs="仿宋"/>
          <w:sz w:val="32"/>
          <w:szCs w:val="32"/>
        </w:rPr>
        <w:tab/>
      </w:r>
      <w:r>
        <w:rPr>
          <w:rFonts w:hint="eastAsia" w:ascii="仿宋" w:hAnsi="仿宋" w:eastAsia="仿宋" w:cs="仿宋"/>
          <w:sz w:val="32"/>
          <w:szCs w:val="32"/>
        </w:rPr>
        <w:t>7</w:t>
      </w:r>
    </w:p>
    <w:p>
      <w:pPr>
        <w:pStyle w:val="7"/>
        <w:tabs>
          <w:tab w:val="right" w:leader="dot" w:pos="8306"/>
        </w:tabs>
        <w:ind w:left="0" w:leftChars="0"/>
        <w:rPr>
          <w:rFonts w:ascii="仿宋" w:hAnsi="仿宋" w:eastAsia="仿宋" w:cs="仿宋"/>
          <w:sz w:val="32"/>
          <w:szCs w:val="32"/>
        </w:rPr>
      </w:pPr>
      <w:r>
        <w:rPr>
          <w:rFonts w:ascii="仿宋" w:hAnsi="仿宋" w:eastAsia="仿宋" w:cs="仿宋"/>
          <w:sz w:val="32"/>
          <w:szCs w:val="32"/>
        </w:rPr>
        <w:t>七、</w:t>
      </w:r>
      <w:r>
        <w:rPr>
          <w:rFonts w:hint="eastAsia" w:ascii="仿宋" w:hAnsi="仿宋" w:eastAsia="仿宋" w:cs="仿宋"/>
          <w:bCs/>
          <w:sz w:val="32"/>
          <w:szCs w:val="32"/>
        </w:rPr>
        <w:t>政府性基金预算财政拨款收入支出决算情况说明</w:t>
      </w:r>
      <w:r>
        <w:rPr>
          <w:rFonts w:hint="eastAsia" w:ascii="仿宋" w:hAnsi="仿宋" w:eastAsia="仿宋" w:cs="仿宋"/>
          <w:sz w:val="32"/>
          <w:szCs w:val="32"/>
        </w:rPr>
        <w:tab/>
      </w:r>
      <w:r>
        <w:rPr>
          <w:rFonts w:hint="eastAsia" w:ascii="仿宋" w:hAnsi="仿宋" w:eastAsia="仿宋" w:cs="仿宋"/>
          <w:sz w:val="32"/>
          <w:szCs w:val="32"/>
        </w:rPr>
        <w:t>7</w:t>
      </w:r>
    </w:p>
    <w:p>
      <w:pPr>
        <w:pStyle w:val="7"/>
        <w:tabs>
          <w:tab w:val="right" w:leader="dot" w:pos="8306"/>
        </w:tabs>
        <w:ind w:left="0" w:leftChars="0"/>
        <w:rPr>
          <w:rFonts w:ascii="仿宋" w:hAnsi="仿宋" w:eastAsia="仿宋" w:cs="仿宋"/>
          <w:sz w:val="32"/>
          <w:szCs w:val="32"/>
        </w:rPr>
      </w:pPr>
      <w:r>
        <w:rPr>
          <w:rFonts w:hint="eastAsia" w:ascii="仿宋" w:hAnsi="仿宋" w:eastAsia="仿宋" w:cs="仿宋"/>
          <w:bCs/>
          <w:sz w:val="32"/>
          <w:szCs w:val="32"/>
        </w:rPr>
        <w:t>八、国有资本经营预算财政拨款收入支出决算情况说明</w:t>
      </w:r>
      <w:r>
        <w:rPr>
          <w:rFonts w:hint="eastAsia" w:ascii="仿宋" w:hAnsi="仿宋" w:eastAsia="仿宋" w:cs="仿宋"/>
          <w:sz w:val="32"/>
          <w:szCs w:val="32"/>
        </w:rPr>
        <w:tab/>
      </w:r>
      <w:r>
        <w:rPr>
          <w:rFonts w:hint="eastAsia" w:ascii="仿宋" w:hAnsi="仿宋" w:eastAsia="仿宋" w:cs="仿宋"/>
          <w:sz w:val="32"/>
          <w:szCs w:val="32"/>
        </w:rPr>
        <w:t>8</w:t>
      </w:r>
    </w:p>
    <w:p>
      <w:pPr>
        <w:rPr>
          <w:rFonts w:ascii="仿宋" w:hAnsi="仿宋" w:eastAsia="仿宋" w:cs="仿宋"/>
          <w:w w:val="98"/>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_Toc5978_WPSOffice_Level2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九、</w:t>
      </w:r>
      <w:r>
        <w:rPr>
          <w:rFonts w:hint="eastAsia" w:ascii="仿宋" w:hAnsi="仿宋" w:eastAsia="仿宋" w:cs="仿宋"/>
          <w:bCs/>
          <w:w w:val="98"/>
          <w:sz w:val="32"/>
          <w:szCs w:val="32"/>
        </w:rPr>
        <w:t>一般公共预算财政拨款“三公”经费支出决算情况说明</w:t>
      </w:r>
    </w:p>
    <w:p>
      <w:pPr>
        <w:pStyle w:val="7"/>
        <w:tabs>
          <w:tab w:val="right" w:leader="dot" w:pos="8306"/>
        </w:tabs>
        <w:ind w:leftChars="0"/>
        <w:rPr>
          <w:rFonts w:ascii="仿宋" w:hAnsi="仿宋" w:eastAsia="仿宋" w:cs="仿宋"/>
          <w:sz w:val="32"/>
          <w:szCs w:val="32"/>
        </w:rPr>
      </w:pP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8</w:t>
      </w:r>
    </w:p>
    <w:p>
      <w:pPr>
        <w:rPr>
          <w:rFonts w:ascii="仿宋" w:hAnsi="仿宋" w:eastAsia="仿宋" w:cs="仿宋"/>
          <w:w w:val="98"/>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_Toc5978_WPSOffice_Level2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十、</w:t>
      </w:r>
      <w:r>
        <w:rPr>
          <w:rFonts w:hint="eastAsia" w:ascii="仿宋" w:hAnsi="仿宋" w:eastAsia="仿宋" w:cs="仿宋"/>
          <w:bCs/>
          <w:w w:val="98"/>
          <w:sz w:val="32"/>
          <w:szCs w:val="32"/>
        </w:rPr>
        <w:t>政府性基金预算财政拨款“三公”经费支出决算情况说明</w:t>
      </w:r>
    </w:p>
    <w:p>
      <w:pPr>
        <w:pStyle w:val="7"/>
        <w:tabs>
          <w:tab w:val="right" w:leader="dot" w:pos="8306"/>
        </w:tabs>
        <w:ind w:leftChars="0"/>
        <w:rPr>
          <w:rFonts w:ascii="仿宋" w:hAnsi="仿宋" w:eastAsia="仿宋" w:cs="仿宋"/>
          <w:sz w:val="32"/>
          <w:szCs w:val="32"/>
        </w:rPr>
      </w:pP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9</w:t>
      </w:r>
    </w:p>
    <w:p>
      <w:pPr>
        <w:rPr>
          <w:rFonts w:ascii="仿宋" w:hAnsi="仿宋" w:eastAsia="仿宋" w:cs="仿宋"/>
          <w:w w:val="91"/>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_Toc5978_WPSOffice_Level2 </w:instrText>
      </w:r>
      <w:r>
        <w:rPr>
          <w:rFonts w:hint="eastAsia" w:ascii="仿宋" w:hAnsi="仿宋" w:eastAsia="仿宋" w:cs="仿宋"/>
          <w:sz w:val="32"/>
          <w:szCs w:val="32"/>
        </w:rPr>
        <w:fldChar w:fldCharType="separate"/>
      </w:r>
      <w:r>
        <w:rPr>
          <w:rFonts w:hint="eastAsia" w:ascii="仿宋" w:hAnsi="仿宋" w:eastAsia="仿宋" w:cs="仿宋"/>
          <w:bCs/>
          <w:w w:val="91"/>
          <w:sz w:val="32"/>
          <w:szCs w:val="32"/>
        </w:rPr>
        <w:t>十一、国有资本经营预算财政拨款“三公”经费支出决算情况说明</w:t>
      </w:r>
    </w:p>
    <w:p>
      <w:pPr>
        <w:pStyle w:val="7"/>
        <w:tabs>
          <w:tab w:val="right" w:leader="dot" w:pos="8306"/>
        </w:tabs>
        <w:ind w:leftChars="0"/>
        <w:rPr>
          <w:rFonts w:ascii="仿宋" w:hAnsi="仿宋" w:eastAsia="仿宋" w:cs="仿宋"/>
          <w:sz w:val="32"/>
          <w:szCs w:val="32"/>
        </w:rPr>
      </w:pP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9</w:t>
      </w:r>
    </w:p>
    <w:p>
      <w:pPr>
        <w:pStyle w:val="7"/>
        <w:tabs>
          <w:tab w:val="right" w:leader="dot" w:pos="8306"/>
        </w:tabs>
        <w:ind w:left="0" w:leftChars="0"/>
        <w:rPr>
          <w:rFonts w:ascii="仿宋" w:hAnsi="仿宋" w:eastAsia="仿宋" w:cs="仿宋"/>
          <w:sz w:val="32"/>
          <w:szCs w:val="32"/>
        </w:rPr>
      </w:pPr>
      <w:r>
        <w:fldChar w:fldCharType="begin"/>
      </w:r>
      <w:r>
        <w:instrText xml:space="preserve">HYPERLINK  \l "_Toc19535_WPSOffice_Level2" </w:instrText>
      </w:r>
      <w:r>
        <w:fldChar w:fldCharType="separate"/>
      </w:r>
      <w:r>
        <w:rPr>
          <w:rFonts w:hint="eastAsia" w:ascii="仿宋" w:hAnsi="仿宋" w:eastAsia="仿宋" w:cs="仿宋"/>
          <w:bCs/>
          <w:sz w:val="32"/>
          <w:szCs w:val="32"/>
        </w:rPr>
        <w:t>十二、预算绩效情况说明</w:t>
      </w:r>
      <w:r>
        <w:rPr>
          <w:rFonts w:hint="eastAsia" w:ascii="仿宋" w:hAnsi="仿宋" w:eastAsia="仿宋" w:cs="仿宋"/>
          <w:sz w:val="32"/>
          <w:szCs w:val="32"/>
        </w:rPr>
        <w:tab/>
      </w:r>
      <w:r>
        <w:fldChar w:fldCharType="end"/>
      </w:r>
      <w:r>
        <w:rPr>
          <w:rFonts w:hint="eastAsia" w:ascii="仿宋" w:hAnsi="仿宋" w:eastAsia="仿宋" w:cs="仿宋"/>
          <w:sz w:val="32"/>
          <w:szCs w:val="32"/>
        </w:rPr>
        <w:t>10</w:t>
      </w:r>
    </w:p>
    <w:p>
      <w:pPr>
        <w:pStyle w:val="7"/>
        <w:tabs>
          <w:tab w:val="right" w:leader="dot" w:pos="8306"/>
        </w:tabs>
        <w:ind w:left="0" w:leftChars="0"/>
        <w:rPr>
          <w:rFonts w:ascii="仿宋" w:hAnsi="仿宋" w:eastAsia="仿宋" w:cs="仿宋"/>
          <w:sz w:val="32"/>
          <w:szCs w:val="32"/>
        </w:rPr>
      </w:pPr>
      <w:r>
        <w:rPr>
          <w:rFonts w:hint="eastAsia" w:ascii="仿宋" w:hAnsi="仿宋" w:eastAsia="仿宋" w:cs="仿宋"/>
          <w:bCs/>
          <w:sz w:val="32"/>
          <w:szCs w:val="32"/>
        </w:rPr>
        <w:t>十三、其他重要事项情况说明</w:t>
      </w:r>
      <w:r>
        <w:rPr>
          <w:rFonts w:hint="eastAsia" w:ascii="仿宋" w:hAnsi="仿宋" w:eastAsia="仿宋" w:cs="仿宋"/>
          <w:sz w:val="32"/>
          <w:szCs w:val="32"/>
        </w:rPr>
        <w:tab/>
      </w:r>
      <w:r>
        <w:rPr>
          <w:rFonts w:hint="eastAsia" w:ascii="仿宋" w:hAnsi="仿宋" w:eastAsia="仿宋" w:cs="仿宋"/>
          <w:sz w:val="32"/>
          <w:szCs w:val="32"/>
        </w:rPr>
        <w:t>10</w:t>
      </w:r>
    </w:p>
    <w:p>
      <w:pPr>
        <w:pStyle w:val="6"/>
        <w:tabs>
          <w:tab w:val="right" w:leader="dot" w:pos="8306"/>
        </w:tabs>
        <w:rPr>
          <w:sz w:val="32"/>
          <w:szCs w:val="32"/>
        </w:rPr>
      </w:pPr>
      <w:r>
        <w:fldChar w:fldCharType="begin"/>
      </w:r>
      <w:r>
        <w:instrText xml:space="preserve">HYPERLINK  \l "_Toc15425_WPSOffice_Level1" </w:instrText>
      </w:r>
      <w:r>
        <w:fldChar w:fldCharType="separate"/>
      </w:r>
      <w:r>
        <w:rPr>
          <w:rFonts w:hint="eastAsia" w:ascii="黑体" w:hAnsi="ˎ̥" w:eastAsia="黑体"/>
          <w:sz w:val="32"/>
          <w:szCs w:val="32"/>
        </w:rPr>
        <w:t>第四部分  名词解释</w:t>
      </w:r>
      <w:r>
        <w:rPr>
          <w:sz w:val="32"/>
          <w:szCs w:val="32"/>
        </w:rPr>
        <w:tab/>
      </w:r>
      <w:r>
        <w:rPr>
          <w:sz w:val="32"/>
          <w:szCs w:val="32"/>
        </w:rPr>
        <w:t>1</w:t>
      </w:r>
      <w:r>
        <w:fldChar w:fldCharType="end"/>
      </w:r>
      <w:bookmarkEnd w:id="0"/>
      <w:r>
        <w:rPr>
          <w:rFonts w:hint="eastAsia"/>
          <w:sz w:val="32"/>
          <w:szCs w:val="32"/>
        </w:rPr>
        <w:t>1</w:t>
      </w:r>
    </w:p>
    <w:p>
      <w:pPr>
        <w:jc w:val="left"/>
        <w:rPr>
          <w:rFonts w:ascii="黑体" w:hAnsi="黑体" w:eastAsia="黑体" w:cs="黑体"/>
          <w:sz w:val="32"/>
          <w:szCs w:val="32"/>
        </w:rPr>
      </w:pPr>
    </w:p>
    <w:p>
      <w:pPr>
        <w:jc w:val="center"/>
        <w:rPr>
          <w:rFonts w:ascii="黑体" w:hAnsi="ˎ̥" w:eastAsia="黑体"/>
          <w:b/>
          <w:sz w:val="32"/>
          <w:szCs w:val="32"/>
        </w:rPr>
      </w:pPr>
    </w:p>
    <w:p>
      <w:pPr>
        <w:jc w:val="center"/>
        <w:rPr>
          <w:rFonts w:ascii="黑体" w:hAnsi="ˎ̥" w:eastAsia="黑体"/>
          <w:sz w:val="32"/>
          <w:szCs w:val="32"/>
        </w:rPr>
      </w:pPr>
      <w:bookmarkStart w:id="1" w:name="_Toc10049_WPSOffice_Level1"/>
      <w:bookmarkStart w:id="2" w:name="_Toc10720_WPSOffice_Level1"/>
      <w:bookmarkStart w:id="3" w:name="_Toc1704_WPSOffice_Level1"/>
      <w:bookmarkStart w:id="4" w:name="_Toc22941_WPSOffice_Level1"/>
      <w:bookmarkStart w:id="5" w:name="_Toc32433_WPSOffice_Level1"/>
      <w:bookmarkStart w:id="6" w:name="_Toc23465_WPSOffice_Level1"/>
      <w:bookmarkStart w:id="7" w:name="_Toc24238_WPSOffice_Level2"/>
      <w:bookmarkStart w:id="8" w:name="_Toc20205_WPSOffice_Level2"/>
      <w:bookmarkStart w:id="9" w:name="_Toc20274_WPSOffice_Level2"/>
      <w:bookmarkStart w:id="10" w:name="_Toc32622_WPSOffice_Level2"/>
      <w:bookmarkStart w:id="11" w:name="_Toc14159_WPSOffice_Level2"/>
      <w:bookmarkStart w:id="12" w:name="_Toc26580_WPSOffice_Level2"/>
      <w:r>
        <w:rPr>
          <w:rFonts w:hint="eastAsia" w:ascii="黑体" w:hAnsi="ˎ̥" w:eastAsia="黑体"/>
          <w:sz w:val="32"/>
          <w:szCs w:val="32"/>
        </w:rPr>
        <w:t>第一部分   海南省公安厅收容教育所概况</w:t>
      </w:r>
      <w:bookmarkEnd w:id="1"/>
      <w:bookmarkEnd w:id="2"/>
      <w:bookmarkEnd w:id="3"/>
      <w:bookmarkEnd w:id="4"/>
      <w:bookmarkEnd w:id="5"/>
      <w:bookmarkEnd w:id="6"/>
    </w:p>
    <w:p>
      <w:pPr>
        <w:ind w:firstLine="640" w:firstLineChars="200"/>
        <w:rPr>
          <w:rFonts w:ascii="楷体" w:hAnsi="楷体" w:eastAsia="楷体" w:cs="楷体"/>
          <w:sz w:val="32"/>
          <w:szCs w:val="32"/>
        </w:rPr>
      </w:pPr>
    </w:p>
    <w:p>
      <w:pPr>
        <w:ind w:firstLine="640" w:firstLineChars="200"/>
        <w:rPr>
          <w:rFonts w:ascii="黑体" w:hAnsi="黑体" w:eastAsia="黑体" w:cs="黑体"/>
          <w:sz w:val="32"/>
          <w:szCs w:val="32"/>
        </w:rPr>
      </w:pPr>
      <w:r>
        <w:rPr>
          <w:rFonts w:hint="eastAsia" w:ascii="黑体" w:hAnsi="黑体" w:eastAsia="黑体" w:cs="黑体"/>
          <w:sz w:val="32"/>
          <w:szCs w:val="32"/>
        </w:rPr>
        <w:t>一、</w:t>
      </w:r>
      <w:bookmarkEnd w:id="7"/>
      <w:r>
        <w:rPr>
          <w:rFonts w:hint="eastAsia" w:ascii="黑体" w:hAnsi="黑体" w:eastAsia="黑体" w:cs="黑体"/>
          <w:sz w:val="32"/>
          <w:szCs w:val="32"/>
        </w:rPr>
        <w:t>单位职责</w:t>
      </w:r>
      <w:bookmarkEnd w:id="8"/>
      <w:bookmarkEnd w:id="9"/>
      <w:bookmarkEnd w:id="10"/>
      <w:bookmarkEnd w:id="11"/>
      <w:bookmarkEnd w:id="12"/>
    </w:p>
    <w:p>
      <w:pPr>
        <w:pStyle w:val="8"/>
        <w:ind w:firstLine="0" w:firstLineChars="0"/>
        <w:jc w:val="left"/>
        <w:rPr>
          <w:rFonts w:ascii="仿宋" w:hAnsi="仿宋" w:eastAsia="仿宋" w:cs="仿宋"/>
          <w:sz w:val="32"/>
          <w:szCs w:val="32"/>
        </w:rPr>
      </w:pPr>
      <w:r>
        <w:rPr>
          <w:rFonts w:hint="eastAsia" w:ascii="仿宋_GB2312" w:hAnsi="仿宋_GB2312" w:eastAsia="仿宋_GB2312"/>
          <w:sz w:val="32"/>
          <w:szCs w:val="32"/>
        </w:rPr>
        <w:t xml:space="preserve">    </w:t>
      </w:r>
      <w:r>
        <w:rPr>
          <w:rFonts w:hint="eastAsia" w:ascii="仿宋" w:hAnsi="仿宋" w:eastAsia="仿宋"/>
          <w:sz w:val="32"/>
          <w:szCs w:val="32"/>
        </w:rPr>
        <w:t>依法对女性吸毒人员进行强制隔离戒毒；</w:t>
      </w:r>
      <w:r>
        <w:rPr>
          <w:rFonts w:hint="eastAsia" w:ascii="仿宋" w:hAnsi="仿宋" w:eastAsia="仿宋"/>
          <w:color w:val="000000"/>
          <w:sz w:val="32"/>
          <w:szCs w:val="32"/>
        </w:rPr>
        <w:t>坚持戒毒治疗与教育康复相结合的方针，遵循依法、严格、科学、文明管理的原则，依法通过行政强制措施为女性戒毒人员提供科学规范的戒毒治疗、心理治疗、身体康复训练和卫生、道德、法制教育，开展职业技能培训。</w:t>
      </w:r>
    </w:p>
    <w:p>
      <w:pPr>
        <w:ind w:firstLine="640" w:firstLineChars="200"/>
        <w:rPr>
          <w:rFonts w:ascii="黑体" w:hAnsi="黑体" w:eastAsia="黑体" w:cs="黑体"/>
          <w:sz w:val="32"/>
          <w:szCs w:val="32"/>
        </w:rPr>
      </w:pPr>
      <w:bookmarkStart w:id="13" w:name="_Toc24059_WPSOffice_Level2"/>
      <w:bookmarkStart w:id="14" w:name="_Toc24474_WPSOffice_Level2"/>
      <w:bookmarkStart w:id="15" w:name="_Toc6572_WPSOffice_Level2"/>
      <w:bookmarkStart w:id="16" w:name="_Toc17796_WPSOffice_Level2"/>
      <w:bookmarkStart w:id="17" w:name="_Toc4833_WPSOffice_Level2"/>
      <w:r>
        <w:rPr>
          <w:rFonts w:hint="eastAsia" w:ascii="黑体" w:hAnsi="黑体" w:eastAsia="黑体" w:cs="黑体"/>
          <w:sz w:val="32"/>
          <w:szCs w:val="32"/>
        </w:rPr>
        <w:t>二、机构设置</w:t>
      </w:r>
      <w:bookmarkEnd w:id="13"/>
      <w:bookmarkEnd w:id="14"/>
      <w:bookmarkEnd w:id="15"/>
      <w:bookmarkEnd w:id="16"/>
      <w:bookmarkEnd w:id="17"/>
    </w:p>
    <w:p>
      <w:pPr>
        <w:ind w:firstLine="640" w:firstLineChars="200"/>
        <w:rPr>
          <w:rFonts w:ascii="仿宋" w:hAnsi="仿宋" w:eastAsia="仿宋"/>
          <w:sz w:val="32"/>
          <w:szCs w:val="32"/>
        </w:rPr>
      </w:pPr>
      <w:r>
        <w:rPr>
          <w:rFonts w:hint="eastAsia" w:ascii="仿宋" w:hAnsi="仿宋" w:eastAsia="仿宋"/>
          <w:sz w:val="32"/>
          <w:szCs w:val="32"/>
        </w:rPr>
        <w:t>内设政秘后勤科、教育管理科、医疗卫生科。</w:t>
      </w:r>
    </w:p>
    <w:p>
      <w:pPr>
        <w:jc w:val="center"/>
        <w:rPr>
          <w:rFonts w:ascii="黑体" w:hAnsi="ˎ̥" w:eastAsia="黑体"/>
          <w:sz w:val="32"/>
          <w:szCs w:val="32"/>
        </w:rPr>
      </w:pPr>
      <w:bookmarkStart w:id="18" w:name="_Toc15521_WPSOffice_Level1"/>
      <w:bookmarkStart w:id="19" w:name="_Toc8164_WPSOffice_Level1"/>
      <w:bookmarkStart w:id="20" w:name="_Toc6234_WPSOffice_Level1"/>
      <w:bookmarkStart w:id="21" w:name="_Toc30690_WPSOffice_Level1"/>
      <w:bookmarkStart w:id="22" w:name="_Toc28253_WPSOffice_Level1"/>
      <w:bookmarkStart w:id="23" w:name="_Toc30451_WPSOffice_Level1"/>
      <w:bookmarkStart w:id="24" w:name="_Toc32695_WPSOffice_Level2"/>
      <w:bookmarkStart w:id="25" w:name="_Toc6211_WPSOffice_Level2"/>
      <w:bookmarkStart w:id="26" w:name="_Toc8867_WPSOffice_Level2"/>
      <w:bookmarkStart w:id="27" w:name="_Toc32472_WPSOffice_Level2"/>
      <w:bookmarkStart w:id="28" w:name="_Toc11518_WPSOffice_Level2"/>
      <w:bookmarkStart w:id="29" w:name="_Toc4029_WPSOffice_Level2"/>
      <w:r>
        <w:rPr>
          <w:rFonts w:hint="eastAsia" w:ascii="黑体" w:hAnsi="ˎ̥" w:eastAsia="黑体"/>
          <w:sz w:val="32"/>
          <w:szCs w:val="32"/>
        </w:rPr>
        <w:t>第二部分  海南省公安厅收容教育所2021年度单位决算公开报表</w:t>
      </w:r>
      <w:bookmarkEnd w:id="18"/>
      <w:bookmarkEnd w:id="19"/>
      <w:bookmarkEnd w:id="20"/>
      <w:bookmarkEnd w:id="21"/>
      <w:bookmarkEnd w:id="22"/>
      <w:bookmarkEnd w:id="23"/>
    </w:p>
    <w:p>
      <w:pPr>
        <w:ind w:firstLine="645"/>
        <w:rPr>
          <w:rFonts w:ascii="黑体" w:hAnsi="黑体" w:eastAsia="黑体" w:cs="黑体"/>
          <w:sz w:val="32"/>
          <w:szCs w:val="32"/>
        </w:rPr>
      </w:pPr>
      <w:r>
        <w:rPr>
          <w:rFonts w:hint="eastAsia" w:ascii="黑体" w:hAnsi="黑体" w:eastAsia="黑体" w:cs="黑体"/>
          <w:sz w:val="32"/>
          <w:szCs w:val="32"/>
        </w:rPr>
        <w:t>一、收入支出决算公开表（见正文附件）</w:t>
      </w:r>
      <w:bookmarkEnd w:id="24"/>
      <w:bookmarkEnd w:id="25"/>
      <w:bookmarkEnd w:id="26"/>
      <w:r>
        <w:rPr>
          <w:rFonts w:hint="eastAsia" w:ascii="黑体" w:hAnsi="黑体" w:eastAsia="黑体" w:cs="黑体"/>
          <w:sz w:val="32"/>
          <w:szCs w:val="32"/>
        </w:rPr>
        <w:t>。</w:t>
      </w:r>
      <w:bookmarkEnd w:id="27"/>
      <w:bookmarkEnd w:id="28"/>
      <w:bookmarkEnd w:id="29"/>
    </w:p>
    <w:p>
      <w:pPr>
        <w:ind w:firstLine="645"/>
        <w:rPr>
          <w:rFonts w:ascii="黑体" w:hAnsi="黑体" w:eastAsia="黑体" w:cs="黑体"/>
          <w:sz w:val="32"/>
          <w:szCs w:val="32"/>
        </w:rPr>
      </w:pPr>
      <w:bookmarkStart w:id="30" w:name="_Toc23139_WPSOffice_Level2"/>
      <w:bookmarkStart w:id="31" w:name="_Toc26621_WPSOffice_Level2"/>
      <w:bookmarkStart w:id="32" w:name="_Toc25608_WPSOffice_Level2"/>
      <w:bookmarkStart w:id="33" w:name="_Toc28622_WPSOffice_Level2"/>
      <w:bookmarkStart w:id="34" w:name="_Toc14349_WPSOffice_Level2"/>
      <w:bookmarkStart w:id="35" w:name="_Toc30334_WPSOffice_Level2"/>
      <w:r>
        <w:rPr>
          <w:rFonts w:hint="eastAsia" w:ascii="黑体" w:hAnsi="黑体" w:eastAsia="黑体" w:cs="黑体"/>
          <w:sz w:val="32"/>
          <w:szCs w:val="32"/>
        </w:rPr>
        <w:t>二、收入决算公开表（见正文附件）</w:t>
      </w:r>
      <w:bookmarkEnd w:id="30"/>
      <w:bookmarkEnd w:id="31"/>
      <w:bookmarkEnd w:id="32"/>
      <w:r>
        <w:rPr>
          <w:rFonts w:hint="eastAsia" w:ascii="黑体" w:hAnsi="黑体" w:eastAsia="黑体" w:cs="黑体"/>
          <w:sz w:val="32"/>
          <w:szCs w:val="32"/>
        </w:rPr>
        <w:t>。</w:t>
      </w:r>
      <w:bookmarkEnd w:id="33"/>
      <w:bookmarkEnd w:id="34"/>
      <w:bookmarkEnd w:id="35"/>
    </w:p>
    <w:p>
      <w:pPr>
        <w:ind w:firstLine="645"/>
        <w:rPr>
          <w:rFonts w:ascii="黑体" w:hAnsi="黑体" w:eastAsia="黑体" w:cs="黑体"/>
          <w:sz w:val="32"/>
          <w:szCs w:val="32"/>
        </w:rPr>
      </w:pPr>
      <w:bookmarkStart w:id="36" w:name="_Toc17858_WPSOffice_Level2"/>
      <w:bookmarkStart w:id="37" w:name="_Toc17626_WPSOffice_Level2"/>
      <w:bookmarkStart w:id="38" w:name="_Toc3262_WPSOffice_Level2"/>
      <w:bookmarkStart w:id="39" w:name="_Toc5489_WPSOffice_Level2"/>
      <w:bookmarkStart w:id="40" w:name="_Toc14658_WPSOffice_Level2"/>
      <w:bookmarkStart w:id="41" w:name="_Toc13854_WPSOffice_Level2"/>
      <w:r>
        <w:rPr>
          <w:rFonts w:hint="eastAsia" w:ascii="黑体" w:hAnsi="黑体" w:eastAsia="黑体" w:cs="黑体"/>
          <w:sz w:val="32"/>
          <w:szCs w:val="32"/>
        </w:rPr>
        <w:t>三、支出决算公开表（见正文附件）</w:t>
      </w:r>
      <w:bookmarkEnd w:id="36"/>
      <w:bookmarkEnd w:id="37"/>
      <w:bookmarkEnd w:id="38"/>
      <w:r>
        <w:rPr>
          <w:rFonts w:hint="eastAsia" w:ascii="黑体" w:hAnsi="黑体" w:eastAsia="黑体" w:cs="黑体"/>
          <w:sz w:val="32"/>
          <w:szCs w:val="32"/>
        </w:rPr>
        <w:t>。</w:t>
      </w:r>
      <w:bookmarkEnd w:id="39"/>
      <w:bookmarkEnd w:id="40"/>
      <w:bookmarkEnd w:id="41"/>
    </w:p>
    <w:p>
      <w:pPr>
        <w:ind w:firstLine="645"/>
        <w:rPr>
          <w:rFonts w:ascii="黑体" w:hAnsi="黑体" w:eastAsia="黑体" w:cs="黑体"/>
          <w:sz w:val="32"/>
          <w:szCs w:val="32"/>
        </w:rPr>
      </w:pPr>
      <w:bookmarkStart w:id="42" w:name="_Toc23591_WPSOffice_Level2"/>
      <w:bookmarkStart w:id="43" w:name="_Toc21415_WPSOffice_Level2"/>
      <w:bookmarkStart w:id="44" w:name="_Toc13701_WPSOffice_Level2"/>
      <w:bookmarkStart w:id="45" w:name="_Toc4265_WPSOffice_Level2"/>
      <w:bookmarkStart w:id="46" w:name="_Toc23493_WPSOffice_Level2"/>
      <w:bookmarkStart w:id="47" w:name="_Toc7988_WPSOffice_Level2"/>
      <w:r>
        <w:rPr>
          <w:rFonts w:hint="eastAsia" w:ascii="黑体" w:hAnsi="黑体" w:eastAsia="黑体" w:cs="黑体"/>
          <w:sz w:val="32"/>
          <w:szCs w:val="32"/>
        </w:rPr>
        <w:t>四、财政拨款收入支出决算公开表（见正文附件）</w:t>
      </w:r>
      <w:bookmarkEnd w:id="42"/>
      <w:bookmarkEnd w:id="43"/>
      <w:bookmarkEnd w:id="44"/>
      <w:r>
        <w:rPr>
          <w:rFonts w:hint="eastAsia" w:ascii="黑体" w:hAnsi="黑体" w:eastAsia="黑体" w:cs="黑体"/>
          <w:sz w:val="32"/>
          <w:szCs w:val="32"/>
        </w:rPr>
        <w:t>。</w:t>
      </w:r>
      <w:bookmarkEnd w:id="45"/>
      <w:bookmarkEnd w:id="46"/>
      <w:bookmarkEnd w:id="47"/>
    </w:p>
    <w:p>
      <w:pPr>
        <w:ind w:firstLine="645"/>
        <w:rPr>
          <w:rFonts w:ascii="黑体" w:hAnsi="黑体" w:eastAsia="黑体" w:cs="黑体"/>
          <w:sz w:val="32"/>
          <w:szCs w:val="32"/>
        </w:rPr>
      </w:pPr>
      <w:bookmarkStart w:id="48" w:name="_Toc7879_WPSOffice_Level2"/>
      <w:bookmarkStart w:id="49" w:name="_Toc22783_WPSOffice_Level2"/>
      <w:bookmarkStart w:id="50" w:name="_Toc23829_WPSOffice_Level2"/>
      <w:bookmarkStart w:id="51" w:name="_Toc25166_WPSOffice_Level2"/>
      <w:bookmarkStart w:id="52" w:name="_Toc13516_WPSOffice_Level2"/>
      <w:bookmarkStart w:id="53" w:name="_Toc2158_WPSOffice_Level2"/>
      <w:r>
        <w:rPr>
          <w:rFonts w:hint="eastAsia" w:ascii="黑体" w:hAnsi="黑体" w:eastAsia="黑体" w:cs="黑体"/>
          <w:sz w:val="32"/>
          <w:szCs w:val="32"/>
        </w:rPr>
        <w:t>五、一般公共预算财政拨款收入支出决算</w:t>
      </w:r>
      <w:bookmarkEnd w:id="48"/>
      <w:bookmarkEnd w:id="49"/>
      <w:bookmarkEnd w:id="50"/>
      <w:bookmarkEnd w:id="51"/>
      <w:r>
        <w:rPr>
          <w:rFonts w:hint="eastAsia" w:ascii="黑体" w:hAnsi="黑体" w:eastAsia="黑体" w:cs="黑体"/>
          <w:sz w:val="32"/>
          <w:szCs w:val="32"/>
        </w:rPr>
        <w:t>公开表</w:t>
      </w:r>
    </w:p>
    <w:p>
      <w:pPr>
        <w:ind w:firstLine="1302" w:firstLineChars="407"/>
        <w:rPr>
          <w:rFonts w:ascii="黑体" w:hAnsi="黑体" w:eastAsia="黑体" w:cs="黑体"/>
          <w:sz w:val="32"/>
          <w:szCs w:val="32"/>
        </w:rPr>
      </w:pPr>
      <w:r>
        <w:rPr>
          <w:rFonts w:hint="eastAsia" w:ascii="黑体" w:hAnsi="黑体" w:eastAsia="黑体" w:cs="黑体"/>
          <w:sz w:val="32"/>
          <w:szCs w:val="32"/>
        </w:rPr>
        <w:t>（见正文附件）</w:t>
      </w:r>
      <w:bookmarkEnd w:id="52"/>
      <w:bookmarkEnd w:id="53"/>
      <w:r>
        <w:rPr>
          <w:rFonts w:hint="eastAsia" w:ascii="黑体" w:hAnsi="黑体" w:eastAsia="黑体" w:cs="黑体"/>
          <w:sz w:val="32"/>
          <w:szCs w:val="32"/>
        </w:rPr>
        <w:t>。</w:t>
      </w:r>
    </w:p>
    <w:p>
      <w:pPr>
        <w:ind w:firstLine="645"/>
        <w:rPr>
          <w:rFonts w:ascii="黑体" w:hAnsi="黑体" w:eastAsia="黑体" w:cs="黑体"/>
          <w:sz w:val="32"/>
          <w:szCs w:val="32"/>
        </w:rPr>
      </w:pPr>
      <w:bookmarkStart w:id="54" w:name="_Toc2632_WPSOffice_Level2"/>
      <w:bookmarkStart w:id="55" w:name="_Toc17833_WPSOffice_Level2"/>
      <w:bookmarkStart w:id="56" w:name="_Toc17283_WPSOffice_Level2"/>
      <w:bookmarkStart w:id="57" w:name="_Toc5343_WPSOffice_Level2"/>
      <w:bookmarkStart w:id="58" w:name="_Toc8373_WPSOffice_Level2"/>
      <w:bookmarkStart w:id="59" w:name="_Toc25362_WPSOffice_Level2"/>
      <w:r>
        <w:rPr>
          <w:rFonts w:hint="eastAsia" w:ascii="黑体" w:hAnsi="黑体" w:eastAsia="黑体" w:cs="黑体"/>
          <w:sz w:val="32"/>
          <w:szCs w:val="32"/>
        </w:rPr>
        <w:t>六、一般公共预算财政拨款基本支出决算</w:t>
      </w:r>
      <w:bookmarkEnd w:id="54"/>
      <w:bookmarkEnd w:id="55"/>
      <w:bookmarkEnd w:id="56"/>
      <w:bookmarkEnd w:id="57"/>
      <w:bookmarkEnd w:id="58"/>
      <w:bookmarkEnd w:id="59"/>
      <w:r>
        <w:rPr>
          <w:rFonts w:hint="eastAsia" w:ascii="黑体" w:hAnsi="黑体" w:eastAsia="黑体" w:cs="黑体"/>
          <w:sz w:val="32"/>
          <w:szCs w:val="32"/>
        </w:rPr>
        <w:t>公开表</w:t>
      </w:r>
    </w:p>
    <w:p>
      <w:pPr>
        <w:ind w:firstLine="1280" w:firstLineChars="400"/>
        <w:rPr>
          <w:rFonts w:ascii="黑体" w:hAnsi="黑体" w:eastAsia="黑体" w:cs="黑体"/>
          <w:sz w:val="32"/>
          <w:szCs w:val="32"/>
        </w:rPr>
      </w:pPr>
      <w:r>
        <w:rPr>
          <w:rFonts w:hint="eastAsia" w:ascii="黑体" w:hAnsi="黑体" w:eastAsia="黑体" w:cs="黑体"/>
          <w:sz w:val="32"/>
          <w:szCs w:val="32"/>
        </w:rPr>
        <w:t>（见正文附件）。</w:t>
      </w:r>
    </w:p>
    <w:p>
      <w:pPr>
        <w:ind w:left="1118" w:leftChars="304" w:hanging="480" w:hangingChars="150"/>
        <w:rPr>
          <w:rFonts w:ascii="黑体" w:hAnsi="黑体" w:eastAsia="黑体" w:cs="黑体"/>
          <w:sz w:val="32"/>
          <w:szCs w:val="32"/>
        </w:rPr>
      </w:pPr>
      <w:bookmarkStart w:id="60" w:name="_Toc21310_WPSOffice_Level2"/>
      <w:bookmarkStart w:id="61" w:name="_Toc6020_WPSOffice_Level2"/>
      <w:bookmarkStart w:id="62" w:name="_Toc5594_WPSOffice_Level2"/>
      <w:bookmarkStart w:id="63" w:name="_Toc11799_WPSOffice_Level2"/>
      <w:bookmarkStart w:id="64" w:name="_Toc13345_WPSOffice_Level2"/>
      <w:bookmarkStart w:id="65" w:name="_Toc1533_WPSOffice_Level2"/>
      <w:r>
        <w:rPr>
          <w:rFonts w:hint="eastAsia" w:ascii="黑体" w:hAnsi="黑体" w:eastAsia="黑体" w:cs="黑体"/>
          <w:sz w:val="32"/>
          <w:szCs w:val="32"/>
        </w:rPr>
        <w:t>七、政府性基金预算财政拨款收入支出决算</w:t>
      </w:r>
      <w:bookmarkEnd w:id="60"/>
      <w:bookmarkEnd w:id="61"/>
      <w:bookmarkEnd w:id="62"/>
      <w:bookmarkEnd w:id="63"/>
      <w:bookmarkEnd w:id="64"/>
      <w:bookmarkEnd w:id="65"/>
      <w:r>
        <w:rPr>
          <w:rFonts w:hint="eastAsia" w:ascii="黑体" w:hAnsi="黑体" w:eastAsia="黑体" w:cs="黑体"/>
          <w:sz w:val="32"/>
          <w:szCs w:val="32"/>
        </w:rPr>
        <w:t>公开表</w:t>
      </w:r>
    </w:p>
    <w:p>
      <w:pPr>
        <w:ind w:left="1277" w:leftChars="608" w:firstLine="160" w:firstLineChars="50"/>
        <w:rPr>
          <w:rFonts w:ascii="黑体" w:hAnsi="黑体" w:eastAsia="黑体" w:cs="黑体"/>
          <w:sz w:val="32"/>
          <w:szCs w:val="32"/>
        </w:rPr>
      </w:pPr>
      <w:r>
        <w:rPr>
          <w:rFonts w:hint="eastAsia" w:ascii="黑体" w:hAnsi="黑体" w:eastAsia="黑体" w:cs="黑体"/>
          <w:sz w:val="32"/>
          <w:szCs w:val="32"/>
        </w:rPr>
        <w:t>（见正文附件）。</w:t>
      </w:r>
    </w:p>
    <w:p>
      <w:pPr>
        <w:ind w:left="1118" w:leftChars="304" w:hanging="480" w:hangingChars="150"/>
        <w:rPr>
          <w:rFonts w:ascii="黑体" w:hAnsi="黑体" w:eastAsia="黑体" w:cs="黑体"/>
          <w:sz w:val="32"/>
          <w:szCs w:val="32"/>
        </w:rPr>
      </w:pPr>
      <w:r>
        <w:rPr>
          <w:rFonts w:hint="eastAsia" w:ascii="黑体" w:hAnsi="黑体" w:eastAsia="黑体" w:cs="黑体"/>
          <w:sz w:val="32"/>
          <w:szCs w:val="32"/>
        </w:rPr>
        <w:t>八、国有资本经营预算财政拨款收入支出决算公开表</w:t>
      </w:r>
    </w:p>
    <w:p>
      <w:pPr>
        <w:ind w:left="1277" w:leftChars="608" w:firstLine="160" w:firstLineChars="50"/>
        <w:rPr>
          <w:rFonts w:ascii="黑体" w:hAnsi="黑体" w:eastAsia="黑体" w:cs="黑体"/>
          <w:sz w:val="32"/>
          <w:szCs w:val="32"/>
        </w:rPr>
      </w:pPr>
      <w:r>
        <w:rPr>
          <w:rFonts w:hint="eastAsia" w:ascii="黑体" w:hAnsi="黑体" w:eastAsia="黑体" w:cs="黑体"/>
          <w:sz w:val="32"/>
          <w:szCs w:val="32"/>
        </w:rPr>
        <w:t>（见正文附件）。</w:t>
      </w:r>
    </w:p>
    <w:p>
      <w:pPr>
        <w:rPr>
          <w:rFonts w:ascii="黑体" w:hAnsi="黑体" w:eastAsia="黑体" w:cs="黑体"/>
          <w:sz w:val="32"/>
          <w:szCs w:val="32"/>
        </w:rPr>
      </w:pPr>
      <w:bookmarkStart w:id="66" w:name="_Toc29886_WPSOffice_Level2"/>
      <w:bookmarkStart w:id="67" w:name="_Toc1820_WPSOffice_Level2"/>
      <w:bookmarkStart w:id="68" w:name="_Toc9377_WPSOffice_Level2"/>
      <w:bookmarkStart w:id="69" w:name="_Toc19961_WPSOffice_Level2"/>
      <w:r>
        <w:rPr>
          <w:rFonts w:hint="eastAsia" w:ascii="黑体" w:hAnsi="黑体" w:eastAsia="黑体" w:cs="黑体"/>
          <w:sz w:val="32"/>
          <w:szCs w:val="32"/>
        </w:rPr>
        <w:t xml:space="preserve">    九、一般公共预算财政拨款“三公”经费支出决算</w:t>
      </w:r>
    </w:p>
    <w:p>
      <w:pPr>
        <w:rPr>
          <w:rFonts w:ascii="黑体" w:hAnsi="黑体" w:eastAsia="黑体" w:cs="黑体"/>
          <w:sz w:val="32"/>
          <w:szCs w:val="32"/>
        </w:rPr>
      </w:pPr>
      <w:r>
        <w:rPr>
          <w:rFonts w:hint="eastAsia" w:ascii="黑体" w:hAnsi="黑体" w:eastAsia="黑体" w:cs="黑体"/>
          <w:sz w:val="32"/>
          <w:szCs w:val="32"/>
        </w:rPr>
        <w:t xml:space="preserve">         </w:t>
      </w:r>
      <w:bookmarkEnd w:id="66"/>
      <w:bookmarkEnd w:id="67"/>
      <w:bookmarkEnd w:id="68"/>
      <w:bookmarkEnd w:id="69"/>
      <w:r>
        <w:rPr>
          <w:rFonts w:hint="eastAsia" w:ascii="黑体" w:hAnsi="黑体" w:eastAsia="黑体" w:cs="黑体"/>
          <w:sz w:val="32"/>
          <w:szCs w:val="32"/>
        </w:rPr>
        <w:t>公开表（见正文附件）。</w:t>
      </w:r>
    </w:p>
    <w:p>
      <w:pPr>
        <w:rPr>
          <w:rFonts w:ascii="黑体" w:hAnsi="黑体" w:eastAsia="黑体" w:cs="黑体"/>
          <w:w w:val="96"/>
          <w:sz w:val="32"/>
          <w:szCs w:val="32"/>
        </w:rPr>
      </w:pPr>
      <w:r>
        <w:rPr>
          <w:rFonts w:hint="eastAsia" w:ascii="黑体" w:hAnsi="黑体" w:eastAsia="黑体" w:cs="黑体"/>
          <w:w w:val="96"/>
          <w:sz w:val="32"/>
          <w:szCs w:val="32"/>
        </w:rPr>
        <w:t xml:space="preserve">    十、政府性基金预算财政拨款“三公”经费支出决算</w:t>
      </w:r>
    </w:p>
    <w:p>
      <w:pPr>
        <w:rPr>
          <w:rFonts w:ascii="黑体" w:hAnsi="黑体" w:eastAsia="黑体" w:cs="黑体"/>
          <w:sz w:val="32"/>
          <w:szCs w:val="32"/>
        </w:rPr>
      </w:pPr>
      <w:r>
        <w:rPr>
          <w:rFonts w:hint="eastAsia" w:ascii="黑体" w:hAnsi="黑体" w:eastAsia="黑体" w:cs="黑体"/>
          <w:w w:val="96"/>
          <w:sz w:val="32"/>
          <w:szCs w:val="32"/>
        </w:rPr>
        <w:t xml:space="preserve">          公开表</w:t>
      </w:r>
      <w:r>
        <w:rPr>
          <w:rFonts w:hint="eastAsia" w:ascii="黑体" w:hAnsi="黑体" w:eastAsia="黑体" w:cs="黑体"/>
          <w:sz w:val="32"/>
          <w:szCs w:val="32"/>
        </w:rPr>
        <w:t>（见正文附件）。</w:t>
      </w:r>
    </w:p>
    <w:p>
      <w:pPr>
        <w:rPr>
          <w:rFonts w:ascii="黑体" w:hAnsi="黑体" w:eastAsia="黑体" w:cs="黑体"/>
          <w:w w:val="96"/>
          <w:sz w:val="32"/>
          <w:szCs w:val="32"/>
        </w:rPr>
      </w:pPr>
      <w:r>
        <w:rPr>
          <w:rFonts w:hint="eastAsia" w:ascii="黑体" w:hAnsi="黑体" w:eastAsia="黑体" w:cs="黑体"/>
          <w:w w:val="96"/>
          <w:sz w:val="32"/>
          <w:szCs w:val="32"/>
        </w:rPr>
        <w:t xml:space="preserve">    十一、国有资本经营预算财政拨款“三公”经费支出决算</w:t>
      </w:r>
    </w:p>
    <w:p>
      <w:pPr>
        <w:rPr>
          <w:rFonts w:ascii="黑体" w:hAnsi="黑体" w:eastAsia="黑体" w:cs="黑体"/>
          <w:sz w:val="32"/>
          <w:szCs w:val="32"/>
        </w:rPr>
      </w:pPr>
      <w:r>
        <w:rPr>
          <w:rFonts w:hint="eastAsia" w:ascii="黑体" w:hAnsi="黑体" w:eastAsia="黑体" w:cs="黑体"/>
          <w:w w:val="96"/>
          <w:sz w:val="32"/>
          <w:szCs w:val="32"/>
        </w:rPr>
        <w:t xml:space="preserve">          公开表</w:t>
      </w:r>
      <w:r>
        <w:rPr>
          <w:rFonts w:hint="eastAsia" w:ascii="黑体" w:hAnsi="黑体" w:eastAsia="黑体" w:cs="黑体"/>
          <w:sz w:val="32"/>
          <w:szCs w:val="32"/>
        </w:rPr>
        <w:t>（见正文附件）。</w:t>
      </w:r>
    </w:p>
    <w:p>
      <w:pPr>
        <w:rPr>
          <w:rFonts w:ascii="黑体" w:hAnsi="黑体" w:eastAsia="黑体" w:cs="黑体"/>
          <w:sz w:val="32"/>
          <w:szCs w:val="32"/>
        </w:rPr>
      </w:pPr>
    </w:p>
    <w:p>
      <w:pPr>
        <w:jc w:val="center"/>
        <w:rPr>
          <w:rFonts w:ascii="黑体" w:hAnsi="ˎ̥" w:eastAsia="黑体"/>
          <w:sz w:val="32"/>
          <w:szCs w:val="32"/>
        </w:rPr>
      </w:pPr>
      <w:bookmarkStart w:id="70" w:name="_Toc28629_WPSOffice_Level1"/>
      <w:bookmarkStart w:id="71" w:name="_Toc4402_WPSOffice_Level1"/>
      <w:bookmarkStart w:id="72" w:name="_Toc31264_WPSOffice_Level1"/>
      <w:bookmarkStart w:id="73" w:name="_Toc16686_WPSOffice_Level1"/>
      <w:bookmarkStart w:id="74" w:name="_Toc29683_WPSOffice_Level1"/>
      <w:bookmarkStart w:id="75" w:name="_Toc27590_WPSOffice_Level1"/>
      <w:r>
        <w:rPr>
          <w:rFonts w:hint="eastAsia" w:ascii="黑体" w:hAnsi="ˎ̥" w:eastAsia="黑体"/>
          <w:sz w:val="32"/>
          <w:szCs w:val="32"/>
        </w:rPr>
        <w:t>第三部分 海南省公安厅收容教育所2021年度决算情况说明</w:t>
      </w:r>
      <w:bookmarkEnd w:id="70"/>
      <w:bookmarkEnd w:id="71"/>
      <w:bookmarkEnd w:id="72"/>
      <w:bookmarkEnd w:id="73"/>
      <w:bookmarkEnd w:id="74"/>
      <w:bookmarkEnd w:id="75"/>
    </w:p>
    <w:p>
      <w:pPr>
        <w:jc w:val="center"/>
        <w:rPr>
          <w:rFonts w:ascii="黑体" w:hAnsi="ˎ̥" w:eastAsia="黑体"/>
          <w:sz w:val="32"/>
          <w:szCs w:val="32"/>
        </w:rPr>
      </w:pPr>
    </w:p>
    <w:p>
      <w:pPr>
        <w:ind w:firstLine="640" w:firstLineChars="200"/>
        <w:rPr>
          <w:rFonts w:ascii="仿宋" w:hAnsi="仿宋" w:eastAsia="仿宋"/>
          <w:sz w:val="32"/>
          <w:szCs w:val="32"/>
          <w:highlight w:val="yellow"/>
        </w:rPr>
      </w:pPr>
      <w:r>
        <w:rPr>
          <w:rFonts w:hint="eastAsia" w:ascii="黑体" w:hAnsi="黑体" w:eastAsia="黑体" w:cs="黑体"/>
          <w:bCs/>
          <w:sz w:val="32"/>
          <w:szCs w:val="32"/>
        </w:rPr>
        <w:t>一、收入支出决算总体情况说明</w:t>
      </w:r>
      <w:r>
        <w:rPr>
          <w:rFonts w:hint="eastAsia" w:ascii="黑体" w:hAnsi="黑体" w:eastAsia="黑体" w:cs="黑体"/>
          <w:bCs/>
          <w:sz w:val="32"/>
          <w:szCs w:val="32"/>
        </w:rPr>
        <w:br/>
      </w:r>
      <w:r>
        <w:rPr>
          <w:rFonts w:hint="eastAsia" w:ascii="楷体_GB2312" w:hAnsi="ˎ̥" w:eastAsia="楷体_GB2312"/>
          <w:sz w:val="32"/>
          <w:szCs w:val="32"/>
        </w:rPr>
        <w:t xml:space="preserve">   </w:t>
      </w:r>
      <w:r>
        <w:rPr>
          <w:rFonts w:hint="eastAsia" w:ascii="仿宋" w:hAnsi="仿宋" w:eastAsia="仿宋"/>
          <w:sz w:val="32"/>
          <w:szCs w:val="32"/>
        </w:rPr>
        <w:t xml:space="preserve"> 2021年度收入总计1393.49万元，支出总计1393.49万元，与2020年度相比，收入、支出总计各增加了172.29万元，上升14.10%。主要原因：一是因人员变动追加了基本支出的公用经费支出；二是因疫情增加了项目经费的支出。使用非财政拨款结余0万元。财政拨款年初结转结余0.24万元，主要是根据实际工作需求结转项目经费用于戒毒人员开支。较2020年度减少12.35万元，减少率</w:t>
      </w:r>
      <w:r>
        <w:rPr>
          <w:rFonts w:hint="eastAsia" w:ascii="仿宋" w:hAnsi="仿宋" w:eastAsia="仿宋"/>
          <w:sz w:val="32"/>
          <w:szCs w:val="32"/>
          <w:lang w:val="en-US" w:eastAsia="zh-CN"/>
        </w:rPr>
        <w:t>98.09</w:t>
      </w:r>
      <w:r>
        <w:rPr>
          <w:rFonts w:hint="eastAsia" w:ascii="仿宋" w:hAnsi="仿宋" w:eastAsia="仿宋"/>
          <w:sz w:val="32"/>
          <w:szCs w:val="32"/>
        </w:rPr>
        <w:t>%，主要原因根据实际工作支出。年末结余分配0.24万元，较2020年度决算数无变化。主要是按实际</w:t>
      </w:r>
      <w:r>
        <w:rPr>
          <w:rFonts w:hint="eastAsia" w:ascii="仿宋_GB2312" w:hAnsi="宋体" w:eastAsia="仿宋_GB2312" w:cs="仿宋_GB2312"/>
          <w:sz w:val="32"/>
          <w:szCs w:val="32"/>
        </w:rPr>
        <w:t>情况支出。</w:t>
      </w:r>
    </w:p>
    <w:p>
      <w:pPr>
        <w:ind w:firstLine="640" w:firstLineChars="200"/>
        <w:rPr>
          <w:rFonts w:ascii="仿宋_GB2312" w:hAnsi="ˎ̥" w:eastAsia="仿宋_GB2312"/>
          <w:sz w:val="32"/>
          <w:szCs w:val="32"/>
        </w:rPr>
      </w:pPr>
      <w:r>
        <w:rPr>
          <w:rFonts w:hint="eastAsia" w:ascii="黑体" w:hAnsi="黑体" w:eastAsia="黑体" w:cs="黑体"/>
          <w:bCs/>
          <w:sz w:val="32"/>
          <w:szCs w:val="32"/>
        </w:rPr>
        <w:t>二、收入决算情况说明</w:t>
      </w:r>
      <w:r>
        <w:rPr>
          <w:rFonts w:hint="eastAsia" w:ascii="黑体" w:hAnsi="黑体" w:eastAsia="黑体" w:cs="黑体"/>
          <w:bCs/>
          <w:sz w:val="32"/>
          <w:szCs w:val="32"/>
        </w:rPr>
        <w:br/>
      </w:r>
      <w:r>
        <w:rPr>
          <w:rFonts w:hint="eastAsia" w:ascii="仿宋_GB2312" w:hAnsi="ˎ̥" w:eastAsia="仿宋_GB2312"/>
          <w:sz w:val="32"/>
          <w:szCs w:val="32"/>
        </w:rPr>
        <w:t xml:space="preserve">  </w:t>
      </w:r>
      <w:r>
        <w:rPr>
          <w:rFonts w:hint="eastAsia" w:ascii="仿宋" w:hAnsi="仿宋" w:eastAsia="仿宋"/>
          <w:sz w:val="32"/>
          <w:szCs w:val="32"/>
        </w:rPr>
        <w:t xml:space="preserve">  本年收入合计1393.25万元，其中：财政拨款收入1393.25万元，占100%。</w:t>
      </w:r>
    </w:p>
    <w:p>
      <w:pPr>
        <w:ind w:firstLine="627" w:firstLineChars="196"/>
        <w:rPr>
          <w:rFonts w:ascii="黑体" w:hAnsi="黑体" w:eastAsia="黑体" w:cs="黑体"/>
          <w:bCs/>
          <w:sz w:val="32"/>
          <w:szCs w:val="32"/>
        </w:rPr>
      </w:pPr>
      <w:r>
        <w:rPr>
          <w:rFonts w:hint="eastAsia" w:ascii="黑体" w:hAnsi="黑体" w:eastAsia="黑体" w:cs="黑体"/>
          <w:bCs/>
          <w:sz w:val="32"/>
          <w:szCs w:val="32"/>
        </w:rPr>
        <w:t>三、支出决算情况说明</w:t>
      </w:r>
    </w:p>
    <w:p>
      <w:pPr>
        <w:ind w:firstLine="640" w:firstLineChars="200"/>
        <w:rPr>
          <w:rFonts w:ascii="仿宋" w:hAnsi="仿宋" w:eastAsia="仿宋"/>
          <w:sz w:val="32"/>
          <w:szCs w:val="32"/>
        </w:rPr>
      </w:pPr>
      <w:r>
        <w:rPr>
          <w:rFonts w:hint="eastAsia" w:ascii="仿宋" w:hAnsi="仿宋" w:eastAsia="仿宋"/>
          <w:sz w:val="32"/>
          <w:szCs w:val="32"/>
        </w:rPr>
        <w:t>本年支出合计1393.25万元，其中：基本支出927.64万元，占66.58%；项目支出465.61万元，占33.42%。</w:t>
      </w:r>
    </w:p>
    <w:p>
      <w:pPr>
        <w:ind w:firstLine="627" w:firstLineChars="196"/>
        <w:rPr>
          <w:rFonts w:ascii="黑体" w:hAnsi="黑体" w:eastAsia="黑体" w:cs="黑体"/>
          <w:bCs/>
          <w:sz w:val="32"/>
          <w:szCs w:val="32"/>
        </w:rPr>
      </w:pPr>
      <w:r>
        <w:rPr>
          <w:rFonts w:hint="eastAsia" w:ascii="黑体" w:hAnsi="黑体" w:eastAsia="黑体" w:cs="黑体"/>
          <w:bCs/>
          <w:sz w:val="32"/>
          <w:szCs w:val="32"/>
        </w:rPr>
        <w:t>四、财政拨款收入支出决算总体情况说明</w:t>
      </w:r>
    </w:p>
    <w:p>
      <w:pPr>
        <w:ind w:firstLine="640" w:firstLineChars="200"/>
        <w:rPr>
          <w:rFonts w:ascii="仿宋" w:hAnsi="仿宋" w:eastAsia="仿宋"/>
          <w:sz w:val="32"/>
          <w:szCs w:val="32"/>
        </w:rPr>
      </w:pPr>
      <w:r>
        <w:rPr>
          <w:rFonts w:hint="eastAsia" w:ascii="仿宋" w:hAnsi="仿宋" w:eastAsia="仿宋"/>
          <w:sz w:val="32"/>
          <w:szCs w:val="32"/>
        </w:rPr>
        <w:t>2021年度财政拨款收入总计1393.25万元，支出总计1393.25万元。与2020年度相比，财政拨款收入、支出总计各增加了172.3万元，增加了14.11%。主要原因：一是因人员变动追加了基本支出的公用经费支出；二是因疫情增加了项目经费的支出。</w:t>
      </w:r>
    </w:p>
    <w:p>
      <w:pPr>
        <w:ind w:firstLine="640" w:firstLineChars="200"/>
        <w:rPr>
          <w:rFonts w:ascii="仿宋" w:hAnsi="仿宋" w:eastAsia="仿宋"/>
          <w:sz w:val="32"/>
          <w:szCs w:val="32"/>
        </w:rPr>
      </w:pPr>
      <w:r>
        <w:rPr>
          <w:rFonts w:hint="eastAsia" w:ascii="仿宋" w:hAnsi="仿宋" w:eastAsia="仿宋"/>
          <w:sz w:val="32"/>
          <w:szCs w:val="32"/>
        </w:rPr>
        <w:t>财政拨款年初结转结余0.24万元，主要是根据实际工作需求结转项目经费用于戒毒人员开支。较2020年度减少12.35万元，减少率</w:t>
      </w:r>
      <w:r>
        <w:rPr>
          <w:rFonts w:hint="eastAsia" w:ascii="仿宋" w:hAnsi="仿宋" w:eastAsia="仿宋"/>
          <w:sz w:val="32"/>
          <w:szCs w:val="32"/>
          <w:lang w:val="en-US" w:eastAsia="zh-CN"/>
        </w:rPr>
        <w:t>98.09</w:t>
      </w:r>
      <w:r>
        <w:rPr>
          <w:rFonts w:hint="eastAsia" w:ascii="仿宋" w:hAnsi="仿宋" w:eastAsia="仿宋"/>
          <w:sz w:val="32"/>
          <w:szCs w:val="32"/>
        </w:rPr>
        <w:t>%，主要原因根据实际工作支出。</w:t>
      </w:r>
    </w:p>
    <w:p>
      <w:pPr>
        <w:ind w:firstLine="640" w:firstLineChars="200"/>
        <w:rPr>
          <w:rFonts w:ascii="仿宋" w:hAnsi="仿宋" w:eastAsia="仿宋"/>
          <w:sz w:val="32"/>
          <w:szCs w:val="32"/>
        </w:rPr>
      </w:pPr>
      <w:r>
        <w:rPr>
          <w:rFonts w:hint="eastAsia" w:ascii="仿宋" w:hAnsi="仿宋" w:eastAsia="仿宋"/>
          <w:sz w:val="32"/>
          <w:szCs w:val="32"/>
        </w:rPr>
        <w:t>财政拨款年末结转结余0.24万元。较2020年度决算数无变化。主要是按实际</w:t>
      </w:r>
      <w:r>
        <w:rPr>
          <w:rFonts w:hint="eastAsia" w:ascii="仿宋_GB2312" w:hAnsi="宋体" w:eastAsia="仿宋_GB2312" w:cs="仿宋_GB2312"/>
          <w:sz w:val="32"/>
          <w:szCs w:val="32"/>
        </w:rPr>
        <w:t>情况支出。</w:t>
      </w:r>
    </w:p>
    <w:p>
      <w:pPr>
        <w:ind w:firstLine="640" w:firstLineChars="200"/>
        <w:rPr>
          <w:rFonts w:ascii="黑体" w:hAnsi="黑体" w:eastAsia="黑体" w:cs="黑体"/>
          <w:bCs/>
          <w:sz w:val="32"/>
          <w:szCs w:val="32"/>
        </w:rPr>
      </w:pPr>
      <w:r>
        <w:rPr>
          <w:rFonts w:hint="eastAsia" w:ascii="黑体" w:hAnsi="黑体" w:eastAsia="黑体" w:cs="黑体"/>
          <w:bCs/>
          <w:sz w:val="32"/>
          <w:szCs w:val="32"/>
        </w:rPr>
        <w:t>五、一般公共预算财政拨款支出决算情况说明</w:t>
      </w:r>
    </w:p>
    <w:p>
      <w:pPr>
        <w:ind w:firstLine="640" w:firstLineChars="200"/>
        <w:rPr>
          <w:rFonts w:ascii="楷体" w:hAnsi="楷体" w:eastAsia="楷体" w:cs="楷体"/>
          <w:sz w:val="32"/>
          <w:szCs w:val="32"/>
        </w:rPr>
      </w:pPr>
      <w:bookmarkStart w:id="76" w:name="_Toc17398_WPSOffice_Level2"/>
      <w:bookmarkStart w:id="77" w:name="_Toc13694_WPSOffice_Level2"/>
      <w:bookmarkStart w:id="78" w:name="_Toc19665_WPSOffice_Level2"/>
      <w:bookmarkStart w:id="79" w:name="_Toc9989_WPSOffice_Level2"/>
      <w:bookmarkStart w:id="80" w:name="_Toc21737_WPSOffice_Level2"/>
      <w:bookmarkStart w:id="81" w:name="_Toc23005_WPSOffice_Level2"/>
      <w:r>
        <w:rPr>
          <w:rFonts w:hint="eastAsia" w:ascii="楷体" w:hAnsi="楷体" w:eastAsia="楷体" w:cs="楷体"/>
          <w:sz w:val="32"/>
          <w:szCs w:val="32"/>
        </w:rPr>
        <w:t>（一）一般公共预算财政拨款支出决算总体情况</w:t>
      </w:r>
      <w:bookmarkEnd w:id="76"/>
      <w:bookmarkEnd w:id="77"/>
      <w:r>
        <w:rPr>
          <w:rFonts w:hint="eastAsia" w:ascii="楷体" w:hAnsi="楷体" w:eastAsia="楷体" w:cs="楷体"/>
          <w:sz w:val="32"/>
          <w:szCs w:val="32"/>
        </w:rPr>
        <w:t>。</w:t>
      </w:r>
      <w:bookmarkEnd w:id="78"/>
      <w:bookmarkEnd w:id="79"/>
      <w:bookmarkEnd w:id="80"/>
      <w:bookmarkEnd w:id="81"/>
    </w:p>
    <w:p>
      <w:pPr>
        <w:ind w:firstLine="640" w:firstLineChars="200"/>
        <w:rPr>
          <w:rFonts w:ascii="仿宋" w:hAnsi="仿宋" w:eastAsia="仿宋"/>
          <w:sz w:val="32"/>
          <w:szCs w:val="32"/>
        </w:rPr>
      </w:pPr>
      <w:bookmarkStart w:id="82" w:name="_Toc2711_WPSOffice_Level2"/>
      <w:bookmarkStart w:id="83" w:name="_Toc18793_WPSOffice_Level2"/>
      <w:bookmarkStart w:id="84" w:name="_Toc23864_WPSOffice_Level2"/>
      <w:bookmarkStart w:id="85" w:name="_Toc19535_WPSOffice_Level2"/>
      <w:bookmarkStart w:id="86" w:name="_Toc27767_WPSOffice_Level2"/>
      <w:bookmarkStart w:id="87" w:name="_Toc19075_WPSOffice_Level2"/>
      <w:r>
        <w:rPr>
          <w:rFonts w:hint="eastAsia" w:ascii="仿宋" w:hAnsi="仿宋" w:eastAsia="仿宋"/>
          <w:sz w:val="32"/>
          <w:szCs w:val="32"/>
        </w:rPr>
        <w:t>2021年度一般公共预算财政拨款支出1393.25万元，占本年支出合计的100%。与2020年度相比，一般公共预算财政拨款支出增加了184.64万元，增加了15.27%，主要原因是人员变动追加了基本支出的公用经费和增加一定比例项目经费。</w:t>
      </w:r>
    </w:p>
    <w:p>
      <w:pPr>
        <w:ind w:firstLine="640" w:firstLineChars="200"/>
        <w:rPr>
          <w:rFonts w:ascii="楷体" w:hAnsi="楷体" w:eastAsia="楷体" w:cs="楷体"/>
          <w:sz w:val="32"/>
          <w:szCs w:val="32"/>
        </w:rPr>
      </w:pPr>
      <w:r>
        <w:rPr>
          <w:rFonts w:hint="eastAsia" w:ascii="楷体" w:hAnsi="楷体" w:eastAsia="楷体" w:cs="楷体"/>
          <w:sz w:val="32"/>
          <w:szCs w:val="32"/>
        </w:rPr>
        <w:t>（二）一般公共预算财政拨款支出决算结构情况</w:t>
      </w:r>
      <w:bookmarkEnd w:id="82"/>
      <w:bookmarkEnd w:id="83"/>
      <w:r>
        <w:rPr>
          <w:rFonts w:hint="eastAsia" w:ascii="楷体" w:hAnsi="楷体" w:eastAsia="楷体" w:cs="楷体"/>
          <w:sz w:val="32"/>
          <w:szCs w:val="32"/>
        </w:rPr>
        <w:t>。</w:t>
      </w:r>
      <w:bookmarkEnd w:id="84"/>
      <w:bookmarkEnd w:id="85"/>
      <w:bookmarkEnd w:id="86"/>
      <w:bookmarkEnd w:id="87"/>
    </w:p>
    <w:p>
      <w:pPr>
        <w:ind w:firstLine="640" w:firstLineChars="200"/>
        <w:rPr>
          <w:rFonts w:ascii="仿宋" w:hAnsi="仿宋" w:eastAsia="仿宋"/>
          <w:sz w:val="32"/>
          <w:szCs w:val="32"/>
        </w:rPr>
      </w:pPr>
      <w:bookmarkStart w:id="88" w:name="_Toc9502_WPSOffice_Level2"/>
      <w:bookmarkStart w:id="89" w:name="_Toc15415_WPSOffice_Level2"/>
      <w:bookmarkStart w:id="90" w:name="_Toc29364_WPSOffice_Level2"/>
      <w:bookmarkStart w:id="91" w:name="_Toc22318_WPSOffice_Level2"/>
      <w:bookmarkStart w:id="92" w:name="_Toc25136_WPSOffice_Level2"/>
      <w:bookmarkStart w:id="93" w:name="_Toc21701_WPSOffice_Level2"/>
      <w:r>
        <w:rPr>
          <w:rFonts w:hint="eastAsia" w:ascii="仿宋" w:hAnsi="仿宋" w:eastAsia="仿宋"/>
          <w:sz w:val="32"/>
          <w:szCs w:val="32"/>
        </w:rPr>
        <w:t>2021年度一般公共预算财政拨款支出1393.25万元，主要用于以下方面：</w:t>
      </w:r>
      <w:r>
        <w:rPr>
          <w:rFonts w:hint="eastAsia" w:ascii="仿宋" w:hAnsi="仿宋" w:eastAsia="仿宋"/>
          <w:b/>
          <w:sz w:val="32"/>
          <w:szCs w:val="32"/>
        </w:rPr>
        <w:t>公共安全</w:t>
      </w:r>
      <w:r>
        <w:rPr>
          <w:rFonts w:hint="eastAsia" w:ascii="仿宋" w:hAnsi="仿宋" w:eastAsia="仿宋"/>
          <w:b/>
          <w:bCs/>
          <w:sz w:val="32"/>
          <w:szCs w:val="32"/>
        </w:rPr>
        <w:t>（类）</w:t>
      </w:r>
      <w:r>
        <w:rPr>
          <w:rFonts w:hint="eastAsia" w:ascii="仿宋" w:hAnsi="仿宋" w:eastAsia="仿宋"/>
          <w:sz w:val="32"/>
          <w:szCs w:val="32"/>
        </w:rPr>
        <w:t>支出1271.66万元，占91.27%；</w:t>
      </w:r>
      <w:r>
        <w:rPr>
          <w:rFonts w:hint="eastAsia" w:ascii="仿宋" w:hAnsi="仿宋" w:eastAsia="仿宋"/>
          <w:b/>
          <w:bCs/>
          <w:sz w:val="32"/>
          <w:szCs w:val="32"/>
        </w:rPr>
        <w:t>社会保障和就业（类）</w:t>
      </w:r>
      <w:r>
        <w:rPr>
          <w:rFonts w:hint="eastAsia" w:ascii="仿宋" w:hAnsi="仿宋" w:eastAsia="仿宋"/>
          <w:sz w:val="32"/>
          <w:szCs w:val="32"/>
        </w:rPr>
        <w:t>支出51.7</w:t>
      </w:r>
      <w:r>
        <w:rPr>
          <w:rFonts w:hint="eastAsia" w:ascii="仿宋" w:hAnsi="仿宋" w:eastAsia="仿宋"/>
          <w:sz w:val="32"/>
          <w:szCs w:val="32"/>
          <w:lang w:val="en-US" w:eastAsia="zh-CN"/>
        </w:rPr>
        <w:t>9</w:t>
      </w:r>
      <w:r>
        <w:rPr>
          <w:rFonts w:hint="eastAsia" w:ascii="仿宋" w:hAnsi="仿宋" w:eastAsia="仿宋"/>
          <w:sz w:val="32"/>
          <w:szCs w:val="32"/>
        </w:rPr>
        <w:t>万元，占3.72%；</w:t>
      </w:r>
      <w:r>
        <w:rPr>
          <w:rFonts w:hint="eastAsia" w:ascii="仿宋" w:hAnsi="仿宋" w:eastAsia="仿宋"/>
          <w:b/>
          <w:bCs/>
          <w:sz w:val="32"/>
          <w:szCs w:val="32"/>
        </w:rPr>
        <w:t>卫生健康（类）</w:t>
      </w:r>
      <w:r>
        <w:rPr>
          <w:rFonts w:hint="eastAsia" w:ascii="仿宋" w:hAnsi="仿宋" w:eastAsia="仿宋"/>
          <w:sz w:val="32"/>
          <w:szCs w:val="32"/>
        </w:rPr>
        <w:t>支出25.04万元，占1.80%；</w:t>
      </w:r>
      <w:r>
        <w:rPr>
          <w:rFonts w:hint="eastAsia" w:ascii="仿宋" w:hAnsi="仿宋" w:eastAsia="仿宋"/>
          <w:b/>
          <w:bCs/>
          <w:sz w:val="32"/>
          <w:szCs w:val="32"/>
        </w:rPr>
        <w:t>住房保障（类）</w:t>
      </w:r>
      <w:r>
        <w:rPr>
          <w:rFonts w:hint="eastAsia" w:ascii="仿宋" w:hAnsi="仿宋" w:eastAsia="仿宋"/>
          <w:sz w:val="32"/>
          <w:szCs w:val="32"/>
        </w:rPr>
        <w:t>支出44.77万元，占3.21%。</w:t>
      </w:r>
    </w:p>
    <w:p>
      <w:pPr>
        <w:ind w:firstLine="640" w:firstLineChars="200"/>
        <w:rPr>
          <w:rFonts w:ascii="楷体" w:hAnsi="楷体" w:eastAsia="楷体" w:cs="楷体"/>
          <w:sz w:val="32"/>
          <w:szCs w:val="32"/>
        </w:rPr>
      </w:pPr>
      <w:r>
        <w:rPr>
          <w:rFonts w:hint="eastAsia" w:ascii="楷体" w:hAnsi="楷体" w:eastAsia="楷体" w:cs="楷体"/>
          <w:sz w:val="32"/>
          <w:szCs w:val="32"/>
        </w:rPr>
        <w:t>（三）一般公共预算财政拨款支出决算具体情况。</w:t>
      </w:r>
      <w:bookmarkEnd w:id="88"/>
      <w:bookmarkEnd w:id="89"/>
      <w:bookmarkEnd w:id="90"/>
      <w:bookmarkEnd w:id="91"/>
      <w:bookmarkEnd w:id="92"/>
      <w:bookmarkEnd w:id="93"/>
    </w:p>
    <w:p>
      <w:pPr>
        <w:ind w:firstLine="640" w:firstLineChars="200"/>
        <w:rPr>
          <w:rFonts w:ascii="仿宋" w:hAnsi="仿宋" w:eastAsia="仿宋"/>
          <w:sz w:val="32"/>
          <w:szCs w:val="32"/>
        </w:rPr>
      </w:pPr>
      <w:r>
        <w:rPr>
          <w:rFonts w:hint="eastAsia" w:ascii="仿宋" w:hAnsi="仿宋" w:eastAsia="仿宋"/>
          <w:sz w:val="32"/>
          <w:szCs w:val="32"/>
        </w:rPr>
        <w:t>2021年度一般公共预算财政拨款支出年初预算为15</w:t>
      </w:r>
      <w:r>
        <w:rPr>
          <w:rFonts w:hint="eastAsia" w:ascii="仿宋" w:hAnsi="仿宋" w:eastAsia="仿宋"/>
          <w:sz w:val="32"/>
          <w:szCs w:val="32"/>
          <w:lang w:val="en-US" w:eastAsia="zh-CN"/>
        </w:rPr>
        <w:t>94.83</w:t>
      </w:r>
      <w:r>
        <w:rPr>
          <w:rFonts w:hint="eastAsia" w:ascii="仿宋" w:hAnsi="仿宋" w:eastAsia="仿宋"/>
          <w:sz w:val="32"/>
          <w:szCs w:val="32"/>
        </w:rPr>
        <w:t>万元，支出决算为1393.25万元，完成年初预算的87.</w:t>
      </w:r>
      <w:r>
        <w:rPr>
          <w:rFonts w:hint="eastAsia" w:ascii="仿宋" w:hAnsi="仿宋" w:eastAsia="仿宋"/>
          <w:sz w:val="32"/>
          <w:szCs w:val="32"/>
          <w:lang w:val="en-US" w:eastAsia="zh-CN"/>
        </w:rPr>
        <w:t>36</w:t>
      </w:r>
      <w:r>
        <w:rPr>
          <w:rFonts w:hint="eastAsia" w:ascii="仿宋" w:hAnsi="仿宋" w:eastAsia="仿宋"/>
          <w:sz w:val="32"/>
          <w:szCs w:val="32"/>
        </w:rPr>
        <w:t>%。其中：</w:t>
      </w:r>
    </w:p>
    <w:p>
      <w:pPr>
        <w:ind w:firstLine="640" w:firstLineChars="200"/>
        <w:rPr>
          <w:rFonts w:hint="eastAsia" w:ascii="仿宋" w:hAnsi="仿宋" w:eastAsia="仿宋"/>
          <w:sz w:val="32"/>
          <w:szCs w:val="32"/>
        </w:rPr>
      </w:pPr>
      <w:r>
        <w:rPr>
          <w:rFonts w:hint="eastAsia" w:ascii="仿宋" w:hAnsi="仿宋" w:eastAsia="仿宋"/>
          <w:sz w:val="32"/>
          <w:szCs w:val="32"/>
        </w:rPr>
        <w:t>1.</w:t>
      </w:r>
      <w:r>
        <w:rPr>
          <w:rFonts w:ascii="仿宋" w:hAnsi="仿宋" w:eastAsia="仿宋"/>
          <w:sz w:val="32"/>
          <w:szCs w:val="32"/>
        </w:rPr>
        <w:t>公共安全支出（类）公安（款）行政运行（项）。</w:t>
      </w:r>
      <w:r>
        <w:rPr>
          <w:rFonts w:hint="eastAsia" w:ascii="仿宋" w:hAnsi="仿宋" w:eastAsia="仿宋"/>
          <w:sz w:val="32"/>
          <w:szCs w:val="32"/>
        </w:rPr>
        <w:t xml:space="preserve">年初预算为 </w:t>
      </w:r>
      <w:r>
        <w:rPr>
          <w:rFonts w:hint="eastAsia" w:ascii="仿宋" w:hAnsi="仿宋" w:eastAsia="仿宋"/>
          <w:sz w:val="32"/>
          <w:szCs w:val="32"/>
          <w:lang w:val="en-US" w:eastAsia="zh-CN"/>
        </w:rPr>
        <w:t>1096.79</w:t>
      </w:r>
      <w:r>
        <w:rPr>
          <w:rFonts w:hint="eastAsia" w:ascii="仿宋" w:hAnsi="仿宋" w:eastAsia="仿宋"/>
          <w:sz w:val="32"/>
          <w:szCs w:val="32"/>
        </w:rPr>
        <w:t>万元，支出决算为</w:t>
      </w:r>
      <w:r>
        <w:rPr>
          <w:rFonts w:hint="eastAsia" w:ascii="仿宋" w:hAnsi="仿宋" w:eastAsia="仿宋"/>
          <w:sz w:val="32"/>
          <w:szCs w:val="32"/>
          <w:lang w:val="en-US" w:eastAsia="zh-CN"/>
        </w:rPr>
        <w:t>994.39</w:t>
      </w:r>
      <w:r>
        <w:rPr>
          <w:rFonts w:hint="eastAsia" w:ascii="仿宋" w:hAnsi="仿宋" w:eastAsia="仿宋"/>
          <w:sz w:val="32"/>
          <w:szCs w:val="32"/>
        </w:rPr>
        <w:t>万元，完成年初预算的</w:t>
      </w:r>
      <w:r>
        <w:rPr>
          <w:rFonts w:hint="eastAsia" w:ascii="仿宋" w:hAnsi="仿宋" w:eastAsia="仿宋"/>
          <w:sz w:val="32"/>
          <w:szCs w:val="32"/>
          <w:lang w:val="en-US" w:eastAsia="zh-CN"/>
        </w:rPr>
        <w:t>90.67</w:t>
      </w:r>
      <w:r>
        <w:rPr>
          <w:rFonts w:hint="eastAsia" w:ascii="仿宋" w:hAnsi="仿宋" w:eastAsia="仿宋"/>
          <w:sz w:val="32"/>
          <w:szCs w:val="32"/>
        </w:rPr>
        <w:t>%。决算数小于预算数的主要原因是项目经费的有效控制。</w:t>
      </w:r>
    </w:p>
    <w:p>
      <w:pPr>
        <w:ind w:firstLine="640" w:firstLineChars="200"/>
        <w:rPr>
          <w:rFonts w:ascii="仿宋" w:hAnsi="仿宋" w:eastAsia="仿宋"/>
          <w:sz w:val="32"/>
          <w:szCs w:val="32"/>
        </w:rPr>
      </w:pPr>
      <w:r>
        <w:rPr>
          <w:rFonts w:hint="eastAsia" w:ascii="仿宋" w:hAnsi="仿宋" w:eastAsia="仿宋"/>
          <w:sz w:val="32"/>
          <w:szCs w:val="32"/>
        </w:rPr>
        <w:t>公共安全支出（类）公安（款）一般行政管理事务（项）。年初预算为</w:t>
      </w:r>
      <w:r>
        <w:rPr>
          <w:rFonts w:hint="eastAsia" w:ascii="仿宋" w:hAnsi="仿宋" w:eastAsia="仿宋"/>
          <w:sz w:val="32"/>
          <w:szCs w:val="32"/>
          <w:lang w:val="en-US" w:eastAsia="zh-CN"/>
        </w:rPr>
        <w:t>376.26</w:t>
      </w:r>
      <w:r>
        <w:rPr>
          <w:rFonts w:hint="eastAsia" w:ascii="仿宋" w:hAnsi="仿宋" w:eastAsia="仿宋"/>
          <w:sz w:val="32"/>
          <w:szCs w:val="32"/>
        </w:rPr>
        <w:t>万元，支出决算为277.27万元，完成年初预算的</w:t>
      </w:r>
      <w:r>
        <w:rPr>
          <w:rFonts w:hint="eastAsia" w:ascii="仿宋" w:hAnsi="仿宋" w:eastAsia="仿宋"/>
          <w:sz w:val="32"/>
          <w:szCs w:val="32"/>
          <w:lang w:val="en-US" w:eastAsia="zh-CN"/>
        </w:rPr>
        <w:t>73.69</w:t>
      </w:r>
      <w:r>
        <w:rPr>
          <w:rFonts w:hint="eastAsia" w:ascii="仿宋" w:hAnsi="仿宋" w:eastAsia="仿宋"/>
          <w:sz w:val="32"/>
          <w:szCs w:val="32"/>
        </w:rPr>
        <w:t>%。决算数小于预算数的主要原因是按项目实际情况支出。</w:t>
      </w:r>
    </w:p>
    <w:p>
      <w:pPr>
        <w:numPr>
          <w:ilvl w:val="0"/>
          <w:numId w:val="1"/>
        </w:numPr>
        <w:ind w:firstLine="640" w:firstLineChars="200"/>
        <w:rPr>
          <w:rFonts w:ascii="仿宋" w:hAnsi="仿宋" w:eastAsia="仿宋"/>
          <w:sz w:val="32"/>
          <w:szCs w:val="32"/>
        </w:rPr>
      </w:pPr>
      <w:r>
        <w:rPr>
          <w:rFonts w:hint="eastAsia" w:ascii="仿宋" w:hAnsi="仿宋" w:eastAsia="仿宋"/>
          <w:sz w:val="32"/>
          <w:szCs w:val="32"/>
        </w:rPr>
        <w:t>社会保障和就业（类）。行政事业单位养老支出（款）机关事业单位基本养老保险缴费支出（项）。年初预算为</w:t>
      </w:r>
      <w:r>
        <w:rPr>
          <w:rFonts w:hint="eastAsia" w:ascii="仿宋" w:hAnsi="仿宋" w:eastAsia="仿宋"/>
          <w:sz w:val="32"/>
          <w:szCs w:val="32"/>
          <w:lang w:val="en-US" w:eastAsia="zh-CN"/>
        </w:rPr>
        <w:t>44.19</w:t>
      </w:r>
      <w:r>
        <w:rPr>
          <w:rFonts w:hint="eastAsia" w:ascii="仿宋" w:hAnsi="仿宋" w:eastAsia="仿宋"/>
          <w:sz w:val="32"/>
          <w:szCs w:val="32"/>
        </w:rPr>
        <w:t>万元，支出决算为47.13万元，完成年初预算的10</w:t>
      </w:r>
      <w:r>
        <w:rPr>
          <w:rFonts w:hint="eastAsia" w:ascii="仿宋" w:hAnsi="仿宋" w:eastAsia="仿宋"/>
          <w:sz w:val="32"/>
          <w:szCs w:val="32"/>
          <w:lang w:val="en-US" w:eastAsia="zh-CN"/>
        </w:rPr>
        <w:t>6.65</w:t>
      </w:r>
      <w:r>
        <w:rPr>
          <w:rFonts w:hint="eastAsia" w:ascii="仿宋" w:hAnsi="仿宋" w:eastAsia="仿宋"/>
          <w:sz w:val="32"/>
          <w:szCs w:val="32"/>
        </w:rPr>
        <w:t>%。决算数大于预算数的主要原因是根据民警实际情况追加社会保障经费支出。</w:t>
      </w:r>
    </w:p>
    <w:p>
      <w:pPr>
        <w:numPr>
          <w:ilvl w:val="0"/>
          <w:numId w:val="1"/>
        </w:numPr>
        <w:ind w:firstLine="640" w:firstLineChars="200"/>
        <w:rPr>
          <w:rFonts w:ascii="仿宋" w:hAnsi="仿宋" w:eastAsia="仿宋"/>
          <w:sz w:val="32"/>
          <w:szCs w:val="32"/>
        </w:rPr>
      </w:pPr>
      <w:r>
        <w:rPr>
          <w:rFonts w:hint="eastAsia" w:ascii="仿宋" w:hAnsi="仿宋" w:eastAsia="仿宋"/>
          <w:sz w:val="32"/>
          <w:szCs w:val="32"/>
        </w:rPr>
        <w:t>社会保障和就业（类）。行政事业单位养老支出（款）机关事业单位职业年金缴费支出（项）。年初预算为</w:t>
      </w:r>
      <w:r>
        <w:rPr>
          <w:rFonts w:hint="eastAsia" w:ascii="仿宋" w:hAnsi="仿宋" w:eastAsia="仿宋"/>
          <w:sz w:val="32"/>
          <w:szCs w:val="32"/>
          <w:lang w:val="en-US" w:eastAsia="zh-CN"/>
        </w:rPr>
        <w:t>5.24</w:t>
      </w:r>
      <w:r>
        <w:rPr>
          <w:rFonts w:hint="eastAsia" w:ascii="仿宋" w:hAnsi="仿宋" w:eastAsia="仿宋"/>
          <w:sz w:val="32"/>
          <w:szCs w:val="32"/>
        </w:rPr>
        <w:t>万元，支出决算为</w:t>
      </w:r>
      <w:r>
        <w:rPr>
          <w:rFonts w:hint="eastAsia" w:ascii="仿宋" w:hAnsi="仿宋" w:eastAsia="仿宋"/>
          <w:sz w:val="32"/>
          <w:szCs w:val="32"/>
          <w:lang w:val="en-US" w:eastAsia="zh-CN"/>
        </w:rPr>
        <w:t>4.66</w:t>
      </w:r>
      <w:r>
        <w:rPr>
          <w:rFonts w:hint="eastAsia" w:ascii="仿宋" w:hAnsi="仿宋" w:eastAsia="仿宋"/>
          <w:sz w:val="32"/>
          <w:szCs w:val="32"/>
        </w:rPr>
        <w:t>万元，完成年初预算的</w:t>
      </w:r>
      <w:r>
        <w:rPr>
          <w:rFonts w:hint="eastAsia" w:ascii="仿宋" w:hAnsi="仿宋" w:eastAsia="仿宋"/>
          <w:sz w:val="32"/>
          <w:szCs w:val="32"/>
          <w:lang w:val="en-US" w:eastAsia="zh-CN"/>
        </w:rPr>
        <w:t>88.93</w:t>
      </w:r>
      <w:r>
        <w:rPr>
          <w:rFonts w:hint="eastAsia" w:ascii="仿宋" w:hAnsi="仿宋" w:eastAsia="仿宋"/>
          <w:sz w:val="32"/>
          <w:szCs w:val="32"/>
        </w:rPr>
        <w:t>%。决算数</w:t>
      </w:r>
      <w:r>
        <w:rPr>
          <w:rFonts w:hint="eastAsia" w:ascii="仿宋" w:hAnsi="仿宋" w:eastAsia="仿宋"/>
          <w:sz w:val="32"/>
          <w:szCs w:val="32"/>
          <w:lang w:val="en-US" w:eastAsia="zh-CN"/>
        </w:rPr>
        <w:t>小</w:t>
      </w:r>
      <w:r>
        <w:rPr>
          <w:rFonts w:hint="eastAsia" w:ascii="仿宋" w:hAnsi="仿宋" w:eastAsia="仿宋"/>
          <w:sz w:val="32"/>
          <w:szCs w:val="32"/>
        </w:rPr>
        <w:t>于预算数的主要原因是根据实际情况支出。</w:t>
      </w:r>
    </w:p>
    <w:p>
      <w:pPr>
        <w:numPr>
          <w:ilvl w:val="0"/>
          <w:numId w:val="1"/>
        </w:numPr>
        <w:ind w:firstLine="640" w:firstLineChars="200"/>
        <w:rPr>
          <w:rFonts w:ascii="仿宋" w:hAnsi="仿宋" w:eastAsia="仿宋"/>
          <w:sz w:val="32"/>
          <w:szCs w:val="32"/>
        </w:rPr>
      </w:pPr>
      <w:r>
        <w:rPr>
          <w:rFonts w:hint="eastAsia" w:ascii="仿宋" w:hAnsi="仿宋" w:eastAsia="仿宋"/>
          <w:sz w:val="32"/>
          <w:szCs w:val="32"/>
        </w:rPr>
        <w:t>卫生健康支出（类）行政事业单位医疗（款）行政单位医疗（项）。年初预算为23.47万元，支出决算为25.04万元，完成年初预算的106.69%。决算数大于预算数的主要原因是根据民警实际情况追加行政单位医疗支出。</w:t>
      </w:r>
    </w:p>
    <w:p>
      <w:pPr>
        <w:numPr>
          <w:ilvl w:val="0"/>
          <w:numId w:val="1"/>
        </w:numPr>
        <w:ind w:firstLine="640" w:firstLineChars="200"/>
        <w:rPr>
          <w:rFonts w:ascii="仿宋" w:hAnsi="仿宋" w:eastAsia="仿宋"/>
          <w:sz w:val="32"/>
          <w:szCs w:val="32"/>
        </w:rPr>
      </w:pPr>
      <w:r>
        <w:rPr>
          <w:rFonts w:hint="eastAsia" w:ascii="仿宋" w:hAnsi="仿宋" w:eastAsia="仿宋"/>
          <w:sz w:val="32"/>
          <w:szCs w:val="32"/>
        </w:rPr>
        <w:t>住房保障支出（类）住房改革支出（款）住房公积金（项）。年初预算为40.</w:t>
      </w:r>
      <w:r>
        <w:rPr>
          <w:rFonts w:hint="eastAsia" w:ascii="仿宋" w:hAnsi="仿宋" w:eastAsia="仿宋"/>
          <w:sz w:val="32"/>
          <w:szCs w:val="32"/>
          <w:lang w:val="en-US" w:eastAsia="zh-CN"/>
        </w:rPr>
        <w:t>71</w:t>
      </w:r>
      <w:r>
        <w:rPr>
          <w:rFonts w:hint="eastAsia" w:ascii="仿宋" w:hAnsi="仿宋" w:eastAsia="仿宋"/>
          <w:sz w:val="32"/>
          <w:szCs w:val="32"/>
        </w:rPr>
        <w:t>万元，支出决算为44.60万元，完成年初预算的109.5</w:t>
      </w:r>
      <w:r>
        <w:rPr>
          <w:rFonts w:hint="eastAsia" w:ascii="仿宋" w:hAnsi="仿宋" w:eastAsia="仿宋"/>
          <w:sz w:val="32"/>
          <w:szCs w:val="32"/>
          <w:lang w:val="en-US" w:eastAsia="zh-CN"/>
        </w:rPr>
        <w:t>5</w:t>
      </w:r>
      <w:r>
        <w:rPr>
          <w:rFonts w:hint="eastAsia" w:ascii="仿宋" w:hAnsi="仿宋" w:eastAsia="仿宋"/>
          <w:sz w:val="32"/>
          <w:szCs w:val="32"/>
        </w:rPr>
        <w:t>%。决算数大于预算数的主要原因是根据民警实际情况追加住房公积金支出。</w:t>
      </w:r>
    </w:p>
    <w:p>
      <w:pPr>
        <w:ind w:firstLine="640" w:firstLineChars="200"/>
        <w:rPr>
          <w:rFonts w:ascii="仿宋" w:hAnsi="仿宋" w:eastAsia="仿宋"/>
          <w:sz w:val="32"/>
          <w:szCs w:val="32"/>
          <w:highlight w:val="yellow"/>
        </w:rPr>
      </w:pPr>
      <w:r>
        <w:rPr>
          <w:rFonts w:hint="eastAsia" w:ascii="仿宋" w:hAnsi="仿宋" w:eastAsia="仿宋"/>
          <w:sz w:val="32"/>
          <w:szCs w:val="32"/>
        </w:rPr>
        <w:t>7.住房保障支出（类）住房改革支出（款）购房补贴（项）。年初预算为</w:t>
      </w:r>
      <w:r>
        <w:rPr>
          <w:rFonts w:hint="eastAsia" w:ascii="仿宋" w:hAnsi="仿宋" w:eastAsia="仿宋"/>
          <w:sz w:val="32"/>
          <w:szCs w:val="32"/>
          <w:lang w:val="en-US" w:eastAsia="zh-CN"/>
        </w:rPr>
        <w:t>0.17</w:t>
      </w:r>
      <w:r>
        <w:rPr>
          <w:rFonts w:hint="eastAsia" w:ascii="仿宋" w:hAnsi="仿宋" w:eastAsia="仿宋"/>
          <w:sz w:val="32"/>
          <w:szCs w:val="32"/>
        </w:rPr>
        <w:t>元，支出决算为0.17万元，完成年初预算的</w:t>
      </w:r>
      <w:r>
        <w:rPr>
          <w:rFonts w:hint="eastAsia" w:ascii="仿宋_GB2312" w:hAnsi="宋体" w:eastAsia="仿宋_GB2312" w:cs="仿宋_GB2312"/>
          <w:sz w:val="32"/>
          <w:szCs w:val="32"/>
          <w:lang w:val="en-US" w:eastAsia="zh-CN"/>
        </w:rPr>
        <w:t>100</w:t>
      </w:r>
      <w:r>
        <w:rPr>
          <w:rFonts w:hint="eastAsia" w:ascii="仿宋_GB2312" w:hAnsi="宋体" w:eastAsia="仿宋_GB2312" w:cs="仿宋_GB2312"/>
          <w:sz w:val="32"/>
          <w:szCs w:val="32"/>
        </w:rPr>
        <w:t>%。</w:t>
      </w:r>
    </w:p>
    <w:p>
      <w:pPr>
        <w:ind w:firstLine="627" w:firstLineChars="196"/>
        <w:rPr>
          <w:rFonts w:ascii="黑体" w:hAnsi="黑体" w:eastAsia="黑体" w:cs="黑体"/>
          <w:sz w:val="32"/>
          <w:szCs w:val="32"/>
        </w:rPr>
      </w:pPr>
      <w:r>
        <w:rPr>
          <w:rFonts w:hint="eastAsia" w:ascii="黑体" w:hAnsi="黑体" w:eastAsia="黑体" w:cs="黑体"/>
          <w:bCs/>
          <w:sz w:val="32"/>
          <w:szCs w:val="32"/>
        </w:rPr>
        <w:t>六、一般公共预算财政拨款基本支出决算情况说明。</w:t>
      </w:r>
    </w:p>
    <w:p>
      <w:pPr>
        <w:tabs>
          <w:tab w:val="center" w:pos="4473"/>
        </w:tabs>
        <w:ind w:firstLine="640" w:firstLineChars="200"/>
        <w:rPr>
          <w:rFonts w:ascii="仿宋" w:hAnsi="仿宋" w:eastAsia="仿宋"/>
          <w:sz w:val="32"/>
          <w:szCs w:val="32"/>
        </w:rPr>
      </w:pPr>
      <w:r>
        <w:rPr>
          <w:rFonts w:hint="eastAsia" w:ascii="仿宋" w:hAnsi="仿宋" w:eastAsia="仿宋"/>
          <w:sz w:val="32"/>
          <w:szCs w:val="32"/>
        </w:rPr>
        <w:t>2021年度财政拨款基本支出927.63万元，其中：人员经费711.61万元，主要包括：基本工资、津贴补贴、奖金、社会保障缴费、伙食费、伙食补助费、绩效工资、其他工资福利支出等、离休费、退休费、退职（役）费、抚恤金、生活补助、救济费、医疗费、助学金、奖励金、生产补贴、住房公积金、提租补贴、购房补贴、其他对个人和家庭的补助支出等。公用经费216.02万元，主要包括：办公费、印刷费、咨询费、手续费、水费、电费、邮电费、取暖费、物业管理费、差旅费、因公出国（境）费用、维修（护）费、租赁费、会议费、培训费、公务接待费、专用材料费、被装购置费、专用燃料费、劳务费、委托业务费、工会经费、福利费、公务用车运行维护费、其他交通费用、税金及附加费用、其他商品和服务支出。</w:t>
      </w:r>
    </w:p>
    <w:p>
      <w:pPr>
        <w:tabs>
          <w:tab w:val="center" w:pos="4473"/>
        </w:tabs>
        <w:ind w:firstLine="627" w:firstLineChars="196"/>
        <w:rPr>
          <w:rFonts w:ascii="黑体" w:hAnsi="黑体" w:eastAsia="黑体" w:cs="黑体"/>
          <w:bCs/>
          <w:sz w:val="32"/>
          <w:szCs w:val="32"/>
        </w:rPr>
      </w:pPr>
      <w:r>
        <w:rPr>
          <w:rFonts w:hint="eastAsia" w:ascii="黑体" w:hAnsi="黑体" w:eastAsia="黑体" w:cs="黑体"/>
          <w:bCs/>
          <w:sz w:val="32"/>
          <w:szCs w:val="32"/>
        </w:rPr>
        <w:t>七、政府性基金预算财政拨款支出决算情况说明</w:t>
      </w:r>
    </w:p>
    <w:p>
      <w:pPr>
        <w:ind w:firstLine="640" w:firstLineChars="200"/>
        <w:rPr>
          <w:rFonts w:ascii="楷体" w:hAnsi="楷体" w:eastAsia="楷体" w:cs="楷体"/>
          <w:sz w:val="32"/>
          <w:szCs w:val="32"/>
        </w:rPr>
      </w:pPr>
      <w:r>
        <w:rPr>
          <w:rFonts w:hint="eastAsia" w:ascii="楷体" w:hAnsi="楷体" w:eastAsia="楷体" w:cs="楷体"/>
          <w:sz w:val="32"/>
          <w:szCs w:val="32"/>
        </w:rPr>
        <w:t>（一）政府性基金预算财政拨款支出决算总体情况。</w:t>
      </w:r>
    </w:p>
    <w:p>
      <w:pPr>
        <w:ind w:firstLine="640" w:firstLineChars="200"/>
        <w:rPr>
          <w:rFonts w:ascii="仿宋" w:hAnsi="仿宋" w:eastAsia="仿宋"/>
          <w:sz w:val="32"/>
          <w:szCs w:val="32"/>
        </w:rPr>
      </w:pPr>
      <w:r>
        <w:rPr>
          <w:rFonts w:hint="eastAsia" w:ascii="仿宋" w:hAnsi="仿宋" w:eastAsia="仿宋"/>
          <w:sz w:val="32"/>
          <w:szCs w:val="32"/>
        </w:rPr>
        <w:t>海南省公安厅收容教育所2021年度无政府性基金预算财政拨款支出。</w:t>
      </w:r>
    </w:p>
    <w:p>
      <w:pPr>
        <w:ind w:firstLine="640" w:firstLineChars="200"/>
        <w:rPr>
          <w:rFonts w:ascii="楷体" w:hAnsi="楷体" w:eastAsia="楷体"/>
          <w:sz w:val="32"/>
          <w:szCs w:val="32"/>
        </w:rPr>
      </w:pPr>
      <w:r>
        <w:rPr>
          <w:rFonts w:hint="eastAsia" w:ascii="楷体" w:hAnsi="楷体" w:eastAsia="楷体"/>
          <w:sz w:val="32"/>
          <w:szCs w:val="32"/>
        </w:rPr>
        <w:t>（二）政府性基金预算财政拨款支出决算结构情况。</w:t>
      </w:r>
    </w:p>
    <w:p>
      <w:pPr>
        <w:ind w:firstLine="640" w:firstLineChars="200"/>
        <w:rPr>
          <w:rFonts w:ascii="仿宋_GB2312" w:hAnsi="ˎ̥" w:eastAsia="仿宋_GB2312"/>
          <w:sz w:val="32"/>
          <w:szCs w:val="32"/>
        </w:rPr>
      </w:pPr>
      <w:r>
        <w:rPr>
          <w:rFonts w:hint="eastAsia" w:ascii="仿宋_GB2312" w:hAnsi="ˎ̥" w:eastAsia="仿宋_GB2312"/>
          <w:sz w:val="32"/>
          <w:szCs w:val="32"/>
        </w:rPr>
        <w:t>海南省公安厅收容教育所2021年度无政府性基金预算财政拨款支出。</w:t>
      </w:r>
    </w:p>
    <w:p>
      <w:pPr>
        <w:ind w:firstLine="640" w:firstLineChars="200"/>
        <w:rPr>
          <w:rFonts w:ascii="楷体" w:hAnsi="楷体" w:eastAsia="楷体" w:cs="楷体"/>
          <w:sz w:val="32"/>
          <w:szCs w:val="32"/>
        </w:rPr>
      </w:pPr>
      <w:r>
        <w:rPr>
          <w:rFonts w:hint="eastAsia" w:ascii="楷体" w:hAnsi="楷体" w:eastAsia="楷体" w:cs="楷体"/>
          <w:sz w:val="32"/>
          <w:szCs w:val="32"/>
        </w:rPr>
        <w:t>（三）政府性基金预算财政拨款支出决算具体情况。</w:t>
      </w:r>
    </w:p>
    <w:p>
      <w:pPr>
        <w:tabs>
          <w:tab w:val="center" w:pos="4473"/>
        </w:tabs>
        <w:ind w:firstLine="640" w:firstLineChars="200"/>
        <w:rPr>
          <w:rFonts w:ascii="仿宋" w:hAnsi="仿宋" w:eastAsia="仿宋"/>
          <w:sz w:val="32"/>
          <w:szCs w:val="32"/>
        </w:rPr>
      </w:pPr>
      <w:r>
        <w:rPr>
          <w:rFonts w:hint="eastAsia" w:ascii="仿宋" w:hAnsi="仿宋" w:eastAsia="仿宋"/>
          <w:sz w:val="32"/>
          <w:szCs w:val="32"/>
        </w:rPr>
        <w:t>海南省公安厅收容教育所2021年度无政府性基金预算财政拨款支出。</w:t>
      </w:r>
    </w:p>
    <w:p>
      <w:pPr>
        <w:tabs>
          <w:tab w:val="center" w:pos="4473"/>
        </w:tabs>
        <w:ind w:firstLine="627" w:firstLineChars="196"/>
        <w:rPr>
          <w:rFonts w:ascii="黑体" w:hAnsi="黑体" w:eastAsia="黑体" w:cs="黑体"/>
          <w:bCs/>
          <w:sz w:val="32"/>
          <w:szCs w:val="32"/>
        </w:rPr>
      </w:pPr>
      <w:r>
        <w:rPr>
          <w:rFonts w:hint="eastAsia" w:ascii="黑体" w:hAnsi="黑体" w:eastAsia="黑体" w:cs="黑体"/>
          <w:bCs/>
          <w:sz w:val="32"/>
          <w:szCs w:val="32"/>
        </w:rPr>
        <w:t>八、国有资本经营预算财政拨款支出决算情况说明</w:t>
      </w:r>
    </w:p>
    <w:p>
      <w:pPr>
        <w:ind w:firstLine="640" w:firstLineChars="200"/>
        <w:rPr>
          <w:rFonts w:ascii="楷体" w:hAnsi="楷体" w:eastAsia="楷体" w:cs="楷体"/>
          <w:sz w:val="32"/>
          <w:szCs w:val="32"/>
        </w:rPr>
      </w:pPr>
      <w:r>
        <w:rPr>
          <w:rFonts w:hint="eastAsia" w:ascii="楷体" w:hAnsi="楷体" w:eastAsia="楷体" w:cs="楷体"/>
          <w:sz w:val="32"/>
          <w:szCs w:val="32"/>
        </w:rPr>
        <w:t>（一）国有资本经营预算财政拨款支出决算总体情况。</w:t>
      </w:r>
    </w:p>
    <w:p>
      <w:pPr>
        <w:ind w:firstLine="640" w:firstLineChars="200"/>
        <w:rPr>
          <w:rFonts w:ascii="仿宋" w:hAnsi="仿宋" w:eastAsia="仿宋"/>
          <w:sz w:val="32"/>
          <w:szCs w:val="32"/>
        </w:rPr>
      </w:pPr>
      <w:r>
        <w:rPr>
          <w:rFonts w:hint="eastAsia" w:ascii="仿宋" w:hAnsi="仿宋" w:eastAsia="仿宋"/>
          <w:sz w:val="32"/>
          <w:szCs w:val="32"/>
        </w:rPr>
        <w:t>海南省公安厅收容教育所2021年度无国有资本经营预算财政拨款支出。</w:t>
      </w:r>
    </w:p>
    <w:p>
      <w:pPr>
        <w:ind w:firstLine="640" w:firstLineChars="200"/>
        <w:rPr>
          <w:rFonts w:ascii="楷体" w:hAnsi="楷体" w:eastAsia="楷体" w:cs="楷体"/>
          <w:sz w:val="32"/>
          <w:szCs w:val="32"/>
        </w:rPr>
      </w:pPr>
      <w:r>
        <w:rPr>
          <w:rFonts w:hint="eastAsia" w:ascii="楷体" w:hAnsi="楷体" w:eastAsia="楷体" w:cs="楷体"/>
          <w:sz w:val="32"/>
          <w:szCs w:val="32"/>
        </w:rPr>
        <w:t>（二）国有资本经营预算财政拨款支出决算结构情况。</w:t>
      </w:r>
    </w:p>
    <w:p>
      <w:pPr>
        <w:ind w:firstLine="640" w:firstLineChars="200"/>
        <w:rPr>
          <w:rFonts w:ascii="仿宋" w:hAnsi="仿宋" w:eastAsia="仿宋"/>
          <w:sz w:val="32"/>
          <w:szCs w:val="32"/>
        </w:rPr>
      </w:pPr>
      <w:r>
        <w:rPr>
          <w:rFonts w:hint="eastAsia" w:ascii="仿宋" w:hAnsi="仿宋" w:eastAsia="仿宋"/>
          <w:sz w:val="32"/>
          <w:szCs w:val="32"/>
        </w:rPr>
        <w:t>海南省公安厅收容教育所2021年度无国有资本经营预算财政拨款支出。</w:t>
      </w:r>
    </w:p>
    <w:p>
      <w:pPr>
        <w:ind w:firstLine="640" w:firstLineChars="200"/>
        <w:rPr>
          <w:rFonts w:ascii="楷体" w:hAnsi="楷体" w:eastAsia="楷体" w:cs="楷体"/>
          <w:sz w:val="32"/>
          <w:szCs w:val="32"/>
        </w:rPr>
      </w:pPr>
      <w:r>
        <w:rPr>
          <w:rFonts w:hint="eastAsia" w:ascii="楷体" w:hAnsi="楷体" w:eastAsia="楷体" w:cs="楷体"/>
          <w:sz w:val="32"/>
          <w:szCs w:val="32"/>
        </w:rPr>
        <w:t>（三）国有资本经营预算财政拨款支出决算具体情况。</w:t>
      </w:r>
    </w:p>
    <w:p>
      <w:pPr>
        <w:ind w:firstLine="640" w:firstLineChars="200"/>
        <w:rPr>
          <w:rFonts w:ascii="仿宋" w:hAnsi="仿宋" w:eastAsia="仿宋"/>
          <w:sz w:val="32"/>
          <w:szCs w:val="32"/>
        </w:rPr>
      </w:pPr>
      <w:r>
        <w:rPr>
          <w:rFonts w:hint="eastAsia" w:ascii="仿宋" w:hAnsi="仿宋" w:eastAsia="仿宋"/>
          <w:sz w:val="32"/>
          <w:szCs w:val="32"/>
        </w:rPr>
        <w:t>海南省公安厅收容教育所2021年度无国有资本经营预算财政拨款支出。</w:t>
      </w:r>
    </w:p>
    <w:p>
      <w:pPr>
        <w:ind w:firstLine="627" w:firstLineChars="196"/>
        <w:rPr>
          <w:rFonts w:ascii="仿宋_GB2312" w:hAnsi="ˎ̥" w:eastAsia="楷体_GB2312"/>
          <w:sz w:val="32"/>
          <w:szCs w:val="32"/>
        </w:rPr>
      </w:pPr>
      <w:r>
        <w:rPr>
          <w:rFonts w:hint="eastAsia" w:ascii="黑体" w:hAnsi="黑体" w:eastAsia="黑体" w:cs="黑体"/>
          <w:bCs/>
          <w:sz w:val="32"/>
          <w:szCs w:val="32"/>
        </w:rPr>
        <w:t>九、一般公共预算财政拨款“三公”经费支出决算情况说明</w:t>
      </w:r>
    </w:p>
    <w:p>
      <w:pPr>
        <w:ind w:firstLine="643" w:firstLineChars="200"/>
        <w:rPr>
          <w:rFonts w:ascii="楷体" w:hAnsi="楷体" w:eastAsia="楷体" w:cs="楷体"/>
          <w:sz w:val="32"/>
          <w:szCs w:val="32"/>
        </w:rPr>
      </w:pPr>
      <w:r>
        <w:rPr>
          <w:rFonts w:hint="eastAsia" w:ascii="楷体" w:hAnsi="楷体" w:eastAsia="楷体" w:cs="楷体"/>
          <w:b/>
          <w:sz w:val="32"/>
          <w:szCs w:val="32"/>
        </w:rPr>
        <w:t>（一）一般公共预算财政拨款“三公”经费支出决算总体情况说明。</w:t>
      </w:r>
    </w:p>
    <w:p>
      <w:pPr>
        <w:ind w:firstLine="640" w:firstLineChars="200"/>
        <w:rPr>
          <w:rFonts w:ascii="仿宋_GB2312" w:hAnsi="ˎ̥" w:eastAsia="仿宋_GB2312"/>
          <w:sz w:val="32"/>
          <w:szCs w:val="32"/>
        </w:rPr>
      </w:pPr>
      <w:r>
        <w:rPr>
          <w:rFonts w:hint="eastAsia" w:ascii="仿宋_GB2312" w:hAnsi="ˎ̥" w:eastAsia="仿宋_GB2312"/>
          <w:sz w:val="32"/>
          <w:szCs w:val="32"/>
        </w:rPr>
        <w:t xml:space="preserve"> </w:t>
      </w:r>
      <w:r>
        <w:rPr>
          <w:rFonts w:hint="eastAsia" w:ascii="仿宋" w:hAnsi="仿宋" w:eastAsia="仿宋"/>
          <w:sz w:val="32"/>
          <w:szCs w:val="32"/>
        </w:rPr>
        <w:t>2021年度一般公共预算财政拨款“三公”经费支出预算为7万元，支出决算为5.24万元，完成预算的74.86%。</w:t>
      </w:r>
    </w:p>
    <w:p>
      <w:pPr>
        <w:rPr>
          <w:rFonts w:ascii="楷体" w:hAnsi="楷体" w:eastAsia="楷体" w:cs="楷体"/>
          <w:b/>
          <w:bCs/>
          <w:sz w:val="32"/>
          <w:szCs w:val="32"/>
        </w:rPr>
      </w:pPr>
      <w:r>
        <w:rPr>
          <w:rFonts w:hint="eastAsia" w:ascii="楷体" w:hAnsi="楷体" w:eastAsia="楷体" w:cs="楷体"/>
          <w:b/>
          <w:bCs/>
          <w:sz w:val="32"/>
          <w:szCs w:val="32"/>
        </w:rPr>
        <w:t xml:space="preserve">    （二）一般公共预算财政拨款“三公”经费支出决算具体情况说明。</w:t>
      </w:r>
    </w:p>
    <w:p>
      <w:pPr>
        <w:ind w:firstLine="640" w:firstLineChars="200"/>
        <w:rPr>
          <w:rFonts w:ascii="仿宋" w:hAnsi="仿宋" w:eastAsia="仿宋"/>
          <w:sz w:val="32"/>
          <w:szCs w:val="32"/>
        </w:rPr>
      </w:pPr>
      <w:r>
        <w:rPr>
          <w:rFonts w:hint="eastAsia" w:ascii="仿宋" w:hAnsi="仿宋" w:eastAsia="仿宋"/>
          <w:sz w:val="32"/>
          <w:szCs w:val="32"/>
        </w:rPr>
        <w:t>2021年度一般公共预算财政拨款“三公”经费支出决算中，因公出国（境）费支出决算0万元，占0%；公务用车购置及运行费支出决算5.24万元，占100%；公务接待费支出决算0万元，占0%。具体情况如下：</w:t>
      </w:r>
    </w:p>
    <w:p>
      <w:pPr>
        <w:ind w:firstLine="643" w:firstLineChars="200"/>
        <w:rPr>
          <w:rFonts w:hint="eastAsia" w:ascii="仿宋" w:hAnsi="仿宋" w:eastAsia="仿宋"/>
          <w:sz w:val="32"/>
          <w:szCs w:val="32"/>
          <w:lang w:val="en-US" w:eastAsia="zh-CN"/>
        </w:rPr>
      </w:pPr>
      <w:r>
        <w:rPr>
          <w:rFonts w:hint="eastAsia" w:ascii="仿宋_GB2312" w:hAnsi="ˎ̥" w:eastAsia="仿宋_GB2312"/>
          <w:b/>
          <w:sz w:val="32"/>
          <w:szCs w:val="32"/>
        </w:rPr>
        <w:t>1.因公出国（境）费</w:t>
      </w:r>
      <w:r>
        <w:rPr>
          <w:rFonts w:hint="eastAsia" w:ascii="仿宋_GB2312" w:hAnsi="ˎ̥" w:eastAsia="仿宋_GB2312"/>
          <w:sz w:val="32"/>
          <w:szCs w:val="32"/>
        </w:rPr>
        <w:t>支出0万元。</w:t>
      </w:r>
      <w:r>
        <w:rPr>
          <w:rFonts w:hint="eastAsia" w:ascii="仿宋_GB2312" w:hAnsi="ˎ̥" w:eastAsia="仿宋_GB2312"/>
          <w:sz w:val="32"/>
          <w:szCs w:val="32"/>
          <w:lang w:val="en-US" w:eastAsia="zh-CN"/>
        </w:rPr>
        <w:t>全年安排因公出国（境）团组0个，因公出国（境）0人次。同上年度持平。</w:t>
      </w:r>
    </w:p>
    <w:p>
      <w:pPr>
        <w:rPr>
          <w:rFonts w:ascii="仿宋" w:hAnsi="仿宋" w:eastAsia="仿宋"/>
          <w:sz w:val="32"/>
          <w:szCs w:val="32"/>
        </w:rPr>
      </w:pPr>
      <w:r>
        <w:rPr>
          <w:rFonts w:hint="eastAsia" w:ascii="仿宋" w:hAnsi="仿宋" w:eastAsia="仿宋"/>
          <w:sz w:val="32"/>
          <w:szCs w:val="32"/>
          <w:lang w:val="en-US" w:eastAsia="zh-CN"/>
        </w:rPr>
        <w:t xml:space="preserve">   </w:t>
      </w:r>
      <w:r>
        <w:rPr>
          <w:rFonts w:hint="eastAsia" w:ascii="仿宋" w:hAnsi="仿宋" w:eastAsia="仿宋"/>
          <w:sz w:val="32"/>
          <w:szCs w:val="32"/>
        </w:rPr>
        <w:t xml:space="preserve"> </w:t>
      </w:r>
      <w:r>
        <w:rPr>
          <w:rFonts w:hint="eastAsia" w:ascii="仿宋_GB2312" w:hAnsi="ˎ̥" w:eastAsia="仿宋_GB2312"/>
          <w:b/>
          <w:sz w:val="32"/>
          <w:szCs w:val="32"/>
          <w:lang w:val="en-US" w:eastAsia="zh-CN"/>
        </w:rPr>
        <w:t>2.</w:t>
      </w:r>
      <w:r>
        <w:rPr>
          <w:rFonts w:hint="eastAsia" w:ascii="仿宋_GB2312" w:hAnsi="ˎ̥" w:eastAsia="仿宋_GB2312"/>
          <w:b/>
          <w:sz w:val="32"/>
          <w:szCs w:val="32"/>
        </w:rPr>
        <w:t>公务用车购置及运行费</w:t>
      </w:r>
      <w:r>
        <w:rPr>
          <w:rFonts w:hint="eastAsia" w:ascii="仿宋" w:hAnsi="仿宋" w:eastAsia="仿宋"/>
          <w:sz w:val="32"/>
          <w:szCs w:val="32"/>
        </w:rPr>
        <w:t>支出5.24万元。其中：</w:t>
      </w:r>
    </w:p>
    <w:p>
      <w:pPr>
        <w:ind w:firstLine="640" w:firstLineChars="200"/>
        <w:rPr>
          <w:rFonts w:ascii="仿宋" w:hAnsi="仿宋" w:eastAsia="仿宋"/>
          <w:sz w:val="32"/>
          <w:szCs w:val="32"/>
        </w:rPr>
      </w:pPr>
      <w:r>
        <w:rPr>
          <w:rFonts w:hint="eastAsia" w:ascii="仿宋" w:hAnsi="仿宋" w:eastAsia="仿宋"/>
          <w:sz w:val="32"/>
          <w:szCs w:val="32"/>
        </w:rPr>
        <w:t>公务用车购置支出0万元，全年购置公务用车0辆，年末公务用车保有量4辆。</w:t>
      </w:r>
    </w:p>
    <w:p>
      <w:pPr>
        <w:ind w:firstLine="640" w:firstLineChars="200"/>
        <w:rPr>
          <w:rFonts w:hint="eastAsia" w:ascii="仿宋" w:hAnsi="仿宋" w:eastAsia="仿宋"/>
          <w:sz w:val="32"/>
          <w:szCs w:val="32"/>
        </w:rPr>
      </w:pPr>
      <w:r>
        <w:rPr>
          <w:rFonts w:hint="eastAsia" w:ascii="仿宋" w:hAnsi="仿宋" w:eastAsia="仿宋"/>
          <w:sz w:val="32"/>
          <w:szCs w:val="32"/>
        </w:rPr>
        <w:t>公务用车运行维护费支出5.24万元，主要用于执法执勤。公务用车购置及运行费支出决算数比预算数减少2.44万元，下降31.77%。主要原因是受2021新冠疫情影响我所工作人员封闭在单位，导致出车频次降低。</w:t>
      </w:r>
    </w:p>
    <w:p>
      <w:pPr>
        <w:rPr>
          <w:rFonts w:hint="eastAsia" w:ascii="仿宋" w:hAnsi="仿宋" w:eastAsia="仿宋"/>
          <w:sz w:val="32"/>
          <w:szCs w:val="32"/>
          <w:lang w:val="en-US" w:eastAsia="zh-CN"/>
        </w:rPr>
      </w:pPr>
      <w:r>
        <w:rPr>
          <w:rFonts w:hint="eastAsia" w:ascii="仿宋_GB2312" w:hAnsi="ˎ̥" w:eastAsia="仿宋_GB2312"/>
          <w:b/>
          <w:sz w:val="32"/>
          <w:szCs w:val="32"/>
          <w:lang w:val="en-US" w:eastAsia="zh-CN"/>
        </w:rPr>
        <w:t xml:space="preserve">   </w:t>
      </w:r>
      <w:r>
        <w:rPr>
          <w:rFonts w:hint="eastAsia" w:ascii="仿宋_GB2312" w:hAnsi="ˎ̥" w:eastAsia="仿宋_GB2312"/>
          <w:b/>
          <w:sz w:val="32"/>
          <w:szCs w:val="32"/>
        </w:rPr>
        <w:t xml:space="preserve"> 3.公务接待费支出</w:t>
      </w:r>
      <w:r>
        <w:rPr>
          <w:rFonts w:hint="eastAsia" w:ascii="仿宋_GB2312" w:hAnsi="ˎ̥" w:eastAsia="仿宋_GB2312"/>
          <w:sz w:val="32"/>
          <w:szCs w:val="32"/>
        </w:rPr>
        <w:t>0万元。</w:t>
      </w:r>
      <w:r>
        <w:rPr>
          <w:rFonts w:hint="eastAsia" w:ascii="仿宋_GB2312" w:hAnsi="ˎ̥" w:eastAsia="仿宋_GB2312"/>
          <w:sz w:val="32"/>
          <w:szCs w:val="32"/>
          <w:lang w:val="en-US" w:eastAsia="zh-CN"/>
        </w:rPr>
        <w:t>国内公务接待0批次，接待0人次。同上年度持平。</w:t>
      </w:r>
    </w:p>
    <w:p>
      <w:pPr>
        <w:ind w:firstLine="627" w:firstLineChars="196"/>
        <w:rPr>
          <w:rFonts w:ascii="仿宋_GB2312" w:hAnsi="ˎ̥" w:eastAsia="楷体_GB2312"/>
          <w:sz w:val="32"/>
          <w:szCs w:val="32"/>
        </w:rPr>
      </w:pPr>
      <w:r>
        <w:rPr>
          <w:rFonts w:hint="eastAsia" w:ascii="黑体" w:hAnsi="黑体" w:eastAsia="黑体" w:cs="黑体"/>
          <w:bCs/>
          <w:sz w:val="32"/>
          <w:szCs w:val="32"/>
        </w:rPr>
        <w:t>十、政府性基金预算财政拨款“三公”经费支出决算情况说明</w:t>
      </w:r>
    </w:p>
    <w:p>
      <w:pPr>
        <w:ind w:firstLine="640" w:firstLineChars="200"/>
        <w:rPr>
          <w:rFonts w:ascii="仿宋" w:hAnsi="仿宋" w:eastAsia="仿宋"/>
          <w:sz w:val="32"/>
          <w:szCs w:val="32"/>
        </w:rPr>
      </w:pPr>
      <w:r>
        <w:rPr>
          <w:rFonts w:hint="eastAsia" w:ascii="仿宋" w:hAnsi="仿宋" w:eastAsia="仿宋"/>
          <w:sz w:val="32"/>
          <w:szCs w:val="32"/>
        </w:rPr>
        <w:t>海南省公安厅收容教育所2021年度无政府性基金预算财政拨款“三公”经费支出。</w:t>
      </w:r>
    </w:p>
    <w:p>
      <w:pPr>
        <w:ind w:firstLine="627" w:firstLineChars="196"/>
        <w:rPr>
          <w:rFonts w:ascii="仿宋_GB2312" w:hAnsi="ˎ̥" w:eastAsia="楷体_GB2312"/>
          <w:sz w:val="32"/>
          <w:szCs w:val="32"/>
        </w:rPr>
      </w:pPr>
      <w:r>
        <w:rPr>
          <w:rFonts w:hint="eastAsia" w:ascii="黑体" w:hAnsi="黑体" w:eastAsia="黑体" w:cs="黑体"/>
          <w:bCs/>
          <w:sz w:val="32"/>
          <w:szCs w:val="32"/>
        </w:rPr>
        <w:t>十一、国有资本经营预算财政拨款“三公”经费支出决算情况说明</w:t>
      </w:r>
    </w:p>
    <w:p>
      <w:pPr>
        <w:ind w:firstLine="640" w:firstLineChars="200"/>
        <w:rPr>
          <w:rFonts w:ascii="仿宋" w:hAnsi="仿宋" w:eastAsia="仿宋"/>
          <w:sz w:val="32"/>
          <w:szCs w:val="32"/>
        </w:rPr>
      </w:pPr>
      <w:r>
        <w:rPr>
          <w:rFonts w:hint="eastAsia" w:ascii="仿宋" w:hAnsi="仿宋" w:eastAsia="仿宋"/>
          <w:sz w:val="32"/>
          <w:szCs w:val="32"/>
        </w:rPr>
        <w:t>海南省公安厅收容教育所2021年度无国有资本经营预算财政拨款“三公”经费支出。</w:t>
      </w:r>
    </w:p>
    <w:p>
      <w:pPr>
        <w:ind w:firstLine="640" w:firstLineChars="200"/>
        <w:rPr>
          <w:rFonts w:ascii="黑体" w:hAnsi="黑体" w:eastAsia="黑体" w:cs="黑体"/>
          <w:bCs/>
          <w:sz w:val="32"/>
          <w:szCs w:val="32"/>
        </w:rPr>
      </w:pPr>
      <w:r>
        <w:rPr>
          <w:rFonts w:hint="eastAsia" w:ascii="黑体" w:hAnsi="黑体" w:eastAsia="黑体" w:cs="黑体"/>
          <w:bCs/>
          <w:sz w:val="32"/>
          <w:szCs w:val="32"/>
        </w:rPr>
        <w:t>十二、预算绩效情况说明。</w:t>
      </w:r>
    </w:p>
    <w:p>
      <w:pPr>
        <w:ind w:firstLine="640" w:firstLineChars="200"/>
        <w:rPr>
          <w:rFonts w:ascii="仿宋" w:hAnsi="仿宋" w:eastAsia="仿宋"/>
          <w:sz w:val="32"/>
          <w:szCs w:val="32"/>
        </w:rPr>
      </w:pPr>
      <w:r>
        <w:rPr>
          <w:rFonts w:hint="eastAsia" w:ascii="仿宋" w:hAnsi="仿宋" w:eastAsia="仿宋"/>
          <w:sz w:val="32"/>
          <w:szCs w:val="32"/>
        </w:rPr>
        <w:t>据财政预算管理要求，我单位组织对2021年度一般公共预算项目支出全面开展绩效自评。自评项目4个，共涉及资金509万元，自评覆盖率达到100%。</w:t>
      </w:r>
    </w:p>
    <w:p>
      <w:pPr>
        <w:ind w:firstLine="640" w:firstLineChars="200"/>
        <w:rPr>
          <w:rFonts w:ascii="仿宋" w:hAnsi="仿宋" w:eastAsia="仿宋"/>
          <w:sz w:val="32"/>
          <w:szCs w:val="32"/>
        </w:rPr>
      </w:pPr>
      <w:r>
        <w:rPr>
          <w:rFonts w:hint="eastAsia" w:ascii="仿宋" w:hAnsi="仿宋" w:eastAsia="仿宋"/>
          <w:sz w:val="32"/>
          <w:szCs w:val="32"/>
        </w:rPr>
        <w:t>共组织对行政运行、拘押收教管理、监管场所维护和警务辅助人员管理4个项目开展了部门评价，涉及资金509万元。从评价情况来看，我所项目经费执行情况良好。</w:t>
      </w:r>
    </w:p>
    <w:p>
      <w:pPr>
        <w:ind w:firstLine="640" w:firstLineChars="200"/>
        <w:rPr>
          <w:rFonts w:ascii="黑体" w:hAnsi="黑体" w:eastAsia="黑体" w:cs="黑体"/>
          <w:bCs/>
          <w:sz w:val="32"/>
          <w:szCs w:val="32"/>
        </w:rPr>
      </w:pPr>
      <w:r>
        <w:rPr>
          <w:rFonts w:hint="eastAsia" w:ascii="黑体" w:hAnsi="黑体" w:eastAsia="黑体" w:cs="黑体"/>
          <w:bCs/>
          <w:sz w:val="32"/>
          <w:szCs w:val="32"/>
        </w:rPr>
        <w:t>十三、其他重要事项情况说明。</w:t>
      </w:r>
    </w:p>
    <w:p>
      <w:pPr>
        <w:ind w:firstLine="643" w:firstLineChars="200"/>
        <w:rPr>
          <w:rFonts w:ascii="楷体" w:hAnsi="楷体" w:eastAsia="楷体" w:cs="楷体"/>
          <w:b/>
          <w:sz w:val="32"/>
          <w:szCs w:val="32"/>
        </w:rPr>
      </w:pPr>
      <w:bookmarkStart w:id="94" w:name="_Toc15565_WPSOffice_Level2"/>
      <w:bookmarkStart w:id="95" w:name="_Toc18325_WPSOffice_Level2"/>
      <w:bookmarkStart w:id="96" w:name="_Toc23598_WPSOffice_Level2"/>
      <w:bookmarkStart w:id="97" w:name="_Toc5978_WPSOffice_Level2"/>
      <w:bookmarkStart w:id="98" w:name="_Toc15262_WPSOffice_Level2"/>
      <w:bookmarkStart w:id="99" w:name="_Toc32639_WPSOffice_Level2"/>
      <w:r>
        <w:rPr>
          <w:rFonts w:hint="eastAsia" w:ascii="楷体" w:hAnsi="楷体" w:eastAsia="楷体" w:cs="楷体"/>
          <w:b/>
          <w:sz w:val="32"/>
          <w:szCs w:val="32"/>
        </w:rPr>
        <w:t>（一）机关运行经费支出情况。</w:t>
      </w:r>
      <w:bookmarkEnd w:id="94"/>
      <w:bookmarkEnd w:id="95"/>
      <w:bookmarkEnd w:id="96"/>
      <w:bookmarkEnd w:id="97"/>
      <w:bookmarkEnd w:id="98"/>
      <w:bookmarkEnd w:id="99"/>
    </w:p>
    <w:p>
      <w:pPr>
        <w:ind w:firstLine="640" w:firstLineChars="200"/>
        <w:rPr>
          <w:rFonts w:ascii="仿宋" w:hAnsi="仿宋" w:eastAsia="仿宋"/>
          <w:sz w:val="32"/>
          <w:szCs w:val="32"/>
        </w:rPr>
      </w:pPr>
      <w:r>
        <w:rPr>
          <w:rFonts w:hint="eastAsia" w:ascii="仿宋" w:hAnsi="仿宋" w:eastAsia="仿宋"/>
          <w:sz w:val="32"/>
          <w:szCs w:val="32"/>
        </w:rPr>
        <w:t>2021年度单位机关运行经费216.02万元，比年初预算减少83.48万元，降低27.87%。主要原因是受2021年度新冠疫情影响公用经费开支数的限制。</w:t>
      </w:r>
    </w:p>
    <w:p>
      <w:pPr>
        <w:ind w:firstLine="643" w:firstLineChars="200"/>
        <w:rPr>
          <w:rFonts w:ascii="楷体" w:hAnsi="楷体" w:eastAsia="楷体" w:cs="楷体"/>
          <w:b/>
          <w:sz w:val="32"/>
          <w:szCs w:val="32"/>
        </w:rPr>
      </w:pPr>
      <w:bookmarkStart w:id="100" w:name="_Toc30383_WPSOffice_Level2"/>
      <w:bookmarkStart w:id="101" w:name="_Toc3131_WPSOffice_Level2"/>
      <w:bookmarkStart w:id="102" w:name="_Toc23966_WPSOffice_Level2"/>
      <w:bookmarkStart w:id="103" w:name="_Toc13084_WPSOffice_Level2"/>
      <w:bookmarkStart w:id="104" w:name="_Toc32689_WPSOffice_Level2"/>
      <w:bookmarkStart w:id="105" w:name="_Toc25333_WPSOffice_Level2"/>
      <w:r>
        <w:rPr>
          <w:rFonts w:hint="eastAsia" w:ascii="楷体" w:hAnsi="楷体" w:eastAsia="楷体" w:cs="楷体"/>
          <w:b/>
          <w:sz w:val="32"/>
          <w:szCs w:val="32"/>
        </w:rPr>
        <w:t>（二）政府采购支出情况。</w:t>
      </w:r>
      <w:bookmarkEnd w:id="100"/>
      <w:bookmarkEnd w:id="101"/>
      <w:bookmarkEnd w:id="102"/>
      <w:bookmarkEnd w:id="103"/>
      <w:bookmarkEnd w:id="104"/>
      <w:bookmarkEnd w:id="105"/>
    </w:p>
    <w:p>
      <w:pPr>
        <w:ind w:firstLine="640" w:firstLineChars="200"/>
        <w:rPr>
          <w:rFonts w:ascii="仿宋" w:hAnsi="仿宋" w:eastAsia="仿宋"/>
          <w:sz w:val="32"/>
          <w:szCs w:val="32"/>
        </w:rPr>
      </w:pPr>
      <w:r>
        <w:rPr>
          <w:rFonts w:hint="eastAsia" w:ascii="仿宋" w:hAnsi="仿宋" w:eastAsia="仿宋"/>
          <w:sz w:val="32"/>
          <w:szCs w:val="32"/>
        </w:rPr>
        <w:t>2021年度海南省公安厅收容教育所政府采购支出总额153.41万元，其中：政府采购工程支出153.41万元。</w:t>
      </w:r>
    </w:p>
    <w:p>
      <w:pPr>
        <w:ind w:firstLine="643" w:firstLineChars="200"/>
        <w:rPr>
          <w:rFonts w:ascii="楷体" w:hAnsi="楷体" w:eastAsia="楷体" w:cs="楷体"/>
          <w:b/>
          <w:sz w:val="32"/>
          <w:szCs w:val="32"/>
        </w:rPr>
      </w:pPr>
      <w:bookmarkStart w:id="106" w:name="_Toc10902_WPSOffice_Level2"/>
      <w:bookmarkStart w:id="107" w:name="_Toc6016_WPSOffice_Level2"/>
      <w:bookmarkStart w:id="108" w:name="_Toc29584_WPSOffice_Level2"/>
      <w:bookmarkStart w:id="109" w:name="_Toc527_WPSOffice_Level2"/>
      <w:bookmarkStart w:id="110" w:name="_Toc15129_WPSOffice_Level2"/>
      <w:bookmarkStart w:id="111" w:name="_Toc19989_WPSOffice_Level2"/>
      <w:r>
        <w:rPr>
          <w:rFonts w:hint="eastAsia" w:ascii="楷体" w:hAnsi="楷体" w:eastAsia="楷体" w:cs="楷体"/>
          <w:b/>
          <w:sz w:val="32"/>
          <w:szCs w:val="32"/>
        </w:rPr>
        <w:t>（三）国有资产占用情况。</w:t>
      </w:r>
      <w:bookmarkEnd w:id="106"/>
      <w:bookmarkEnd w:id="107"/>
      <w:bookmarkEnd w:id="108"/>
      <w:bookmarkEnd w:id="109"/>
      <w:bookmarkEnd w:id="110"/>
      <w:bookmarkEnd w:id="111"/>
    </w:p>
    <w:p>
      <w:pPr>
        <w:spacing w:line="578" w:lineRule="exact"/>
        <w:ind w:firstLine="640" w:firstLineChars="200"/>
        <w:rPr>
          <w:rFonts w:ascii="仿宋" w:hAnsi="仿宋" w:eastAsia="仿宋"/>
          <w:sz w:val="32"/>
          <w:szCs w:val="32"/>
        </w:rPr>
      </w:pPr>
      <w:r>
        <w:rPr>
          <w:rFonts w:hint="eastAsia" w:ascii="仿宋" w:hAnsi="仿宋" w:eastAsia="仿宋"/>
          <w:sz w:val="32"/>
          <w:szCs w:val="32"/>
        </w:rPr>
        <w:t>截至2021年12月31日，本单位占用房屋面积105774.22平方米，其中：办公用房11700.56平方米，业务用房302.8平方米，其他（不含构筑物）93770.86平方米。</w:t>
      </w:r>
    </w:p>
    <w:p>
      <w:pPr>
        <w:spacing w:line="578" w:lineRule="exact"/>
        <w:ind w:firstLine="640" w:firstLineChars="200"/>
        <w:rPr>
          <w:rFonts w:ascii="仿宋" w:hAnsi="仿宋" w:eastAsia="仿宋"/>
          <w:sz w:val="32"/>
          <w:szCs w:val="32"/>
        </w:rPr>
      </w:pPr>
      <w:r>
        <w:rPr>
          <w:rFonts w:hint="eastAsia" w:ascii="仿宋" w:hAnsi="仿宋" w:eastAsia="仿宋"/>
          <w:sz w:val="32"/>
          <w:szCs w:val="32"/>
        </w:rPr>
        <w:t>本部门共有车辆3辆，其中：从车辆种类说明：轿车1辆、其他车型2辆；从车辆使用情况说明：机要通信用车1辆、执法执勤用车2辆。</w:t>
      </w:r>
    </w:p>
    <w:p>
      <w:pPr>
        <w:spacing w:line="578" w:lineRule="exact"/>
        <w:ind w:firstLine="640" w:firstLineChars="200"/>
        <w:rPr>
          <w:rFonts w:ascii="仿宋_GB2312" w:hAnsi="ˎ̥" w:eastAsia="仿宋_GB2312"/>
          <w:sz w:val="32"/>
          <w:szCs w:val="32"/>
        </w:rPr>
      </w:pPr>
    </w:p>
    <w:p>
      <w:pPr>
        <w:jc w:val="center"/>
        <w:rPr>
          <w:rFonts w:ascii="黑体" w:hAnsi="ˎ̥" w:eastAsia="黑体"/>
          <w:sz w:val="32"/>
          <w:szCs w:val="32"/>
        </w:rPr>
      </w:pPr>
      <w:bookmarkStart w:id="112" w:name="_Toc17580_WPSOffice_Level1"/>
      <w:bookmarkStart w:id="113" w:name="_Toc11039_WPSOffice_Level1"/>
      <w:bookmarkStart w:id="114" w:name="_Toc8808_WPSOffice_Level1"/>
      <w:bookmarkStart w:id="115" w:name="_Toc8874_WPSOffice_Level1"/>
      <w:bookmarkStart w:id="116" w:name="_Toc4398_WPSOffice_Level1"/>
      <w:bookmarkStart w:id="117" w:name="_Toc15425_WPSOffice_Level1"/>
      <w:r>
        <w:rPr>
          <w:rFonts w:hint="eastAsia" w:ascii="黑体" w:hAnsi="ˎ̥" w:eastAsia="黑体"/>
          <w:sz w:val="32"/>
          <w:szCs w:val="32"/>
        </w:rPr>
        <w:t>第四部分  名词解释</w:t>
      </w:r>
      <w:bookmarkEnd w:id="112"/>
      <w:bookmarkEnd w:id="113"/>
      <w:bookmarkEnd w:id="114"/>
      <w:bookmarkEnd w:id="115"/>
      <w:bookmarkEnd w:id="116"/>
      <w:bookmarkEnd w:id="117"/>
    </w:p>
    <w:p>
      <w:pPr>
        <w:jc w:val="center"/>
        <w:rPr>
          <w:rFonts w:ascii="黑体" w:hAnsi="ˎ̥" w:eastAsia="黑体"/>
          <w:sz w:val="32"/>
          <w:szCs w:val="32"/>
        </w:rPr>
      </w:pPr>
    </w:p>
    <w:p>
      <w:pPr>
        <w:ind w:firstLine="640" w:firstLineChars="200"/>
        <w:rPr>
          <w:rFonts w:ascii="仿宋" w:hAnsi="仿宋" w:eastAsia="仿宋"/>
          <w:sz w:val="32"/>
          <w:szCs w:val="32"/>
        </w:rPr>
      </w:pPr>
      <w:r>
        <w:rPr>
          <w:rFonts w:hint="eastAsia" w:ascii="楷体" w:hAnsi="楷体" w:eastAsia="楷体"/>
          <w:sz w:val="32"/>
          <w:szCs w:val="32"/>
        </w:rPr>
        <w:t>一、财政拨款收入：</w:t>
      </w:r>
      <w:r>
        <w:rPr>
          <w:rFonts w:hint="eastAsia" w:ascii="仿宋" w:hAnsi="仿宋" w:eastAsia="仿宋"/>
          <w:sz w:val="32"/>
          <w:szCs w:val="32"/>
        </w:rPr>
        <w:t>指本级财政当年拨付的资金。</w:t>
      </w:r>
    </w:p>
    <w:p>
      <w:pPr>
        <w:ind w:firstLine="640" w:firstLineChars="200"/>
        <w:rPr>
          <w:rFonts w:ascii="仿宋" w:hAnsi="仿宋" w:eastAsia="仿宋"/>
          <w:sz w:val="32"/>
          <w:szCs w:val="32"/>
        </w:rPr>
      </w:pPr>
      <w:r>
        <w:rPr>
          <w:rFonts w:hint="eastAsia" w:ascii="楷体" w:hAnsi="楷体" w:eastAsia="楷体"/>
          <w:sz w:val="32"/>
          <w:szCs w:val="32"/>
        </w:rPr>
        <w:t>二、上级补助收入：</w:t>
      </w:r>
      <w:r>
        <w:rPr>
          <w:rFonts w:hint="eastAsia" w:ascii="仿宋" w:hAnsi="仿宋" w:eastAsia="仿宋"/>
          <w:sz w:val="32"/>
          <w:szCs w:val="32"/>
        </w:rPr>
        <w:t>指事业单位从主管部门和上级单位取得的非财政补助收。</w:t>
      </w:r>
    </w:p>
    <w:p>
      <w:pPr>
        <w:ind w:firstLine="640" w:firstLineChars="200"/>
        <w:rPr>
          <w:rFonts w:ascii="仿宋" w:hAnsi="仿宋" w:eastAsia="仿宋"/>
          <w:sz w:val="32"/>
          <w:szCs w:val="32"/>
        </w:rPr>
      </w:pPr>
      <w:r>
        <w:rPr>
          <w:rFonts w:hint="eastAsia" w:ascii="楷体" w:hAnsi="楷体" w:eastAsia="楷体"/>
          <w:sz w:val="32"/>
          <w:szCs w:val="32"/>
        </w:rPr>
        <w:t>三、事业收入：</w:t>
      </w:r>
      <w:r>
        <w:rPr>
          <w:rFonts w:hint="eastAsia" w:ascii="仿宋" w:hAnsi="仿宋" w:eastAsia="仿宋"/>
          <w:sz w:val="32"/>
          <w:szCs w:val="32"/>
        </w:rPr>
        <w:t>指事业单位开展专业业务活动及辅助活动取得的收入。</w:t>
      </w:r>
    </w:p>
    <w:p>
      <w:pPr>
        <w:ind w:firstLine="640" w:firstLineChars="200"/>
        <w:rPr>
          <w:rFonts w:ascii="仿宋" w:hAnsi="仿宋" w:eastAsia="仿宋"/>
          <w:sz w:val="32"/>
          <w:szCs w:val="32"/>
        </w:rPr>
      </w:pPr>
      <w:r>
        <w:rPr>
          <w:rFonts w:hint="eastAsia" w:ascii="楷体" w:hAnsi="楷体" w:eastAsia="楷体"/>
          <w:sz w:val="32"/>
          <w:szCs w:val="32"/>
        </w:rPr>
        <w:t>四、经营收入：</w:t>
      </w:r>
      <w:r>
        <w:rPr>
          <w:rFonts w:hint="eastAsia" w:ascii="仿宋" w:hAnsi="仿宋" w:eastAsia="仿宋"/>
          <w:sz w:val="32"/>
          <w:szCs w:val="32"/>
        </w:rPr>
        <w:t>指事业单位在专业业务活动及其辅助活动之外开展非独立核算经营活动取得的收入。</w:t>
      </w:r>
    </w:p>
    <w:p>
      <w:pPr>
        <w:ind w:firstLine="640" w:firstLineChars="200"/>
        <w:rPr>
          <w:rFonts w:ascii="仿宋" w:hAnsi="仿宋" w:eastAsia="仿宋"/>
          <w:sz w:val="32"/>
          <w:szCs w:val="32"/>
        </w:rPr>
      </w:pPr>
      <w:r>
        <w:rPr>
          <w:rFonts w:hint="eastAsia" w:ascii="楷体" w:hAnsi="楷体" w:eastAsia="楷体"/>
          <w:sz w:val="32"/>
          <w:szCs w:val="32"/>
        </w:rPr>
        <w:t>五、附属单位上缴收入：</w:t>
      </w:r>
      <w:r>
        <w:rPr>
          <w:rFonts w:hint="eastAsia" w:ascii="仿宋" w:hAnsi="仿宋" w:eastAsia="仿宋"/>
          <w:sz w:val="32"/>
          <w:szCs w:val="32"/>
        </w:rPr>
        <w:t>指事业单位取得附属独立核算单位根据有关规定上缴的收入。</w:t>
      </w:r>
    </w:p>
    <w:p>
      <w:pPr>
        <w:ind w:firstLine="640" w:firstLineChars="200"/>
        <w:rPr>
          <w:rFonts w:ascii="仿宋" w:hAnsi="仿宋" w:eastAsia="仿宋"/>
          <w:sz w:val="32"/>
          <w:szCs w:val="32"/>
        </w:rPr>
      </w:pPr>
      <w:r>
        <w:rPr>
          <w:rFonts w:hint="eastAsia" w:ascii="楷体" w:hAnsi="楷体" w:eastAsia="楷体"/>
          <w:sz w:val="32"/>
          <w:szCs w:val="32"/>
        </w:rPr>
        <w:t>六、其他收入：</w:t>
      </w:r>
      <w:r>
        <w:rPr>
          <w:rFonts w:hint="eastAsia" w:ascii="仿宋" w:hAnsi="仿宋" w:eastAsia="仿宋"/>
          <w:sz w:val="32"/>
          <w:szCs w:val="32"/>
        </w:rPr>
        <w:t>指除上述“财政拨款收入”“事业收入”““上级补助收入”“”经营收入”““”“附属单位上缴收入”等以外的收入。</w:t>
      </w:r>
    </w:p>
    <w:p>
      <w:pPr>
        <w:ind w:firstLine="640" w:firstLineChars="200"/>
        <w:rPr>
          <w:rFonts w:ascii="仿宋" w:hAnsi="仿宋" w:eastAsia="仿宋"/>
          <w:sz w:val="32"/>
          <w:szCs w:val="32"/>
        </w:rPr>
      </w:pPr>
      <w:r>
        <w:rPr>
          <w:rFonts w:hint="eastAsia" w:ascii="楷体" w:hAnsi="楷体" w:eastAsia="楷体"/>
          <w:sz w:val="32"/>
          <w:szCs w:val="32"/>
        </w:rPr>
        <w:t>七、使用非财政拔款结余：</w:t>
      </w:r>
      <w:r>
        <w:rPr>
          <w:rFonts w:hint="eastAsia" w:ascii="仿宋" w:hAnsi="仿宋" w:eastAsia="仿宋"/>
          <w:sz w:val="32"/>
          <w:szCs w:val="32"/>
        </w:rPr>
        <w:t>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pPr>
        <w:ind w:firstLine="640" w:firstLineChars="200"/>
        <w:rPr>
          <w:rFonts w:ascii="仿宋" w:hAnsi="仿宋" w:eastAsia="仿宋"/>
          <w:sz w:val="32"/>
          <w:szCs w:val="32"/>
        </w:rPr>
      </w:pPr>
      <w:r>
        <w:rPr>
          <w:rFonts w:hint="eastAsia" w:ascii="楷体" w:hAnsi="楷体" w:eastAsia="楷体"/>
          <w:sz w:val="32"/>
          <w:szCs w:val="32"/>
        </w:rPr>
        <w:t>八、年初结转和结余：</w:t>
      </w:r>
      <w:r>
        <w:rPr>
          <w:rFonts w:hint="eastAsia" w:ascii="仿宋" w:hAnsi="仿宋" w:eastAsia="仿宋"/>
          <w:sz w:val="32"/>
          <w:szCs w:val="32"/>
        </w:rPr>
        <w:t>指以前年度尚未完成、结转到本年按有关规定继续使用的资金。</w:t>
      </w:r>
    </w:p>
    <w:p>
      <w:pPr>
        <w:ind w:firstLine="640" w:firstLineChars="200"/>
        <w:rPr>
          <w:rFonts w:ascii="仿宋" w:hAnsi="仿宋" w:eastAsia="仿宋"/>
          <w:sz w:val="32"/>
          <w:szCs w:val="32"/>
        </w:rPr>
      </w:pPr>
      <w:r>
        <w:rPr>
          <w:rFonts w:hint="eastAsia" w:ascii="楷体" w:hAnsi="楷体" w:eastAsia="楷体"/>
          <w:sz w:val="32"/>
          <w:szCs w:val="32"/>
        </w:rPr>
        <w:t>九、结余分配：</w:t>
      </w:r>
      <w:r>
        <w:rPr>
          <w:rFonts w:hint="eastAsia" w:ascii="仿宋" w:hAnsi="仿宋" w:eastAsia="仿宋"/>
          <w:sz w:val="32"/>
          <w:szCs w:val="32"/>
        </w:rPr>
        <w:t>指事业单位按规定提取的职工福利基金、事业基金和缴纳的所得税，以及建设单位按规定应交回的基本建设竣工项目结余资金。</w:t>
      </w:r>
    </w:p>
    <w:p>
      <w:pPr>
        <w:ind w:firstLine="640" w:firstLineChars="200"/>
        <w:rPr>
          <w:rFonts w:ascii="仿宋" w:hAnsi="仿宋" w:eastAsia="仿宋"/>
          <w:sz w:val="32"/>
          <w:szCs w:val="32"/>
        </w:rPr>
      </w:pPr>
      <w:r>
        <w:rPr>
          <w:rFonts w:hint="eastAsia" w:ascii="楷体" w:hAnsi="楷体" w:eastAsia="楷体"/>
          <w:sz w:val="32"/>
          <w:szCs w:val="32"/>
        </w:rPr>
        <w:t>十、年末结转和结余：</w:t>
      </w:r>
      <w:r>
        <w:rPr>
          <w:rFonts w:hint="eastAsia" w:ascii="仿宋" w:hAnsi="仿宋" w:eastAsia="仿宋"/>
          <w:sz w:val="32"/>
          <w:szCs w:val="32"/>
        </w:rPr>
        <w:t>指本年度或以前年度预算安排、因客观条件发生变化无法按原计划实施，需要延迟到以后年度按有关规定继续使用的资金。</w:t>
      </w:r>
    </w:p>
    <w:p>
      <w:pPr>
        <w:ind w:firstLine="640" w:firstLineChars="200"/>
        <w:rPr>
          <w:rFonts w:ascii="仿宋" w:hAnsi="仿宋" w:eastAsia="仿宋"/>
          <w:sz w:val="32"/>
          <w:szCs w:val="32"/>
        </w:rPr>
      </w:pPr>
      <w:r>
        <w:rPr>
          <w:rFonts w:hint="eastAsia" w:ascii="楷体" w:hAnsi="楷体" w:eastAsia="楷体"/>
          <w:sz w:val="32"/>
          <w:szCs w:val="32"/>
        </w:rPr>
        <w:t>十一、基本支出：</w:t>
      </w:r>
      <w:r>
        <w:rPr>
          <w:rFonts w:hint="eastAsia" w:ascii="仿宋" w:hAnsi="仿宋" w:eastAsia="仿宋"/>
          <w:sz w:val="32"/>
          <w:szCs w:val="32"/>
        </w:rPr>
        <w:t>指为保障机构正常运转、完成日常工作任务而发生的人员支出和公用支出。</w:t>
      </w:r>
    </w:p>
    <w:p>
      <w:pPr>
        <w:ind w:firstLine="640" w:firstLineChars="200"/>
        <w:rPr>
          <w:rFonts w:ascii="仿宋" w:hAnsi="仿宋" w:eastAsia="仿宋"/>
          <w:sz w:val="32"/>
          <w:szCs w:val="32"/>
        </w:rPr>
      </w:pPr>
      <w:r>
        <w:rPr>
          <w:rFonts w:hint="eastAsia" w:ascii="楷体" w:hAnsi="楷体" w:eastAsia="楷体"/>
          <w:sz w:val="32"/>
          <w:szCs w:val="32"/>
        </w:rPr>
        <w:t>十二、项目支出：</w:t>
      </w:r>
      <w:r>
        <w:rPr>
          <w:rFonts w:hint="eastAsia" w:ascii="仿宋" w:hAnsi="仿宋" w:eastAsia="仿宋"/>
          <w:sz w:val="32"/>
          <w:szCs w:val="32"/>
        </w:rPr>
        <w:t>指在基本支出之外为完成特定行政任务和事业发展目标所发生的支出。</w:t>
      </w:r>
    </w:p>
    <w:p>
      <w:pPr>
        <w:ind w:firstLine="640" w:firstLineChars="200"/>
        <w:rPr>
          <w:rFonts w:ascii="仿宋" w:hAnsi="仿宋" w:eastAsia="仿宋"/>
          <w:sz w:val="32"/>
          <w:szCs w:val="32"/>
        </w:rPr>
      </w:pPr>
      <w:r>
        <w:rPr>
          <w:rFonts w:hint="eastAsia" w:ascii="楷体" w:hAnsi="楷体" w:eastAsia="楷体"/>
          <w:sz w:val="32"/>
          <w:szCs w:val="32"/>
        </w:rPr>
        <w:t>十三、经营支出：</w:t>
      </w:r>
      <w:r>
        <w:rPr>
          <w:rFonts w:hint="eastAsia" w:ascii="仿宋" w:hAnsi="仿宋" w:eastAsia="仿宋"/>
          <w:sz w:val="32"/>
          <w:szCs w:val="32"/>
        </w:rPr>
        <w:t>指事业单位在专业业务活动及其辅助活动之外开展非独立核算经营活动发生的支出。</w:t>
      </w:r>
    </w:p>
    <w:p>
      <w:pPr>
        <w:ind w:firstLine="640" w:firstLineChars="200"/>
        <w:rPr>
          <w:rFonts w:ascii="仿宋" w:hAnsi="仿宋" w:eastAsia="仿宋"/>
          <w:sz w:val="32"/>
          <w:szCs w:val="32"/>
        </w:rPr>
      </w:pPr>
      <w:r>
        <w:rPr>
          <w:rFonts w:hint="eastAsia" w:ascii="楷体" w:hAnsi="楷体" w:eastAsia="楷体"/>
          <w:sz w:val="32"/>
          <w:szCs w:val="32"/>
        </w:rPr>
        <w:t>十四、“三公”经费：</w:t>
      </w:r>
      <w:r>
        <w:rPr>
          <w:rFonts w:hint="eastAsia" w:ascii="仿宋" w:hAnsi="仿宋" w:eastAsia="仿宋"/>
          <w:sz w:val="32"/>
          <w:szCs w:val="32"/>
        </w:rPr>
        <w:t>纳入本级财政预决算管理的“三公”经费，是指本级部门用一般公共预算财政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firstLineChars="200"/>
        <w:rPr>
          <w:rFonts w:ascii="仿宋" w:hAnsi="仿宋" w:eastAsia="仿宋"/>
          <w:sz w:val="32"/>
          <w:szCs w:val="32"/>
        </w:rPr>
      </w:pPr>
      <w:r>
        <w:rPr>
          <w:rFonts w:hint="eastAsia" w:ascii="楷体" w:hAnsi="楷体" w:eastAsia="楷体"/>
          <w:sz w:val="32"/>
          <w:szCs w:val="32"/>
        </w:rPr>
        <w:t>十五、机关运行经费：</w:t>
      </w:r>
      <w:r>
        <w:rPr>
          <w:rFonts w:hint="eastAsia" w:ascii="仿宋" w:hAnsi="仿宋" w:eastAsia="仿宋"/>
          <w:sz w:val="32"/>
          <w:szCs w:val="32"/>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420" w:firstLineChars="200"/>
        <w:rPr>
          <w:rFonts w:ascii="仿宋" w:hAnsi="仿宋" w:eastAsia="仿宋"/>
        </w:rPr>
      </w:pPr>
    </w:p>
    <w:sectPr>
      <w:headerReference r:id="rId4" w:type="default"/>
      <w:footerReference r:id="rId5"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Calibri">
    <w:panose1 w:val="020F0502020204030204"/>
    <w:charset w:val="00"/>
    <w:family w:val="auto"/>
    <w:pitch w:val="default"/>
    <w:sig w:usb0="E4002EFF" w:usb1="C000247B" w:usb2="00000009" w:usb3="00000000" w:csb0="200001FF" w:csb1="00000000"/>
  </w:font>
  <w:font w:name="ˎ̥">
    <w:altName w:val="Times New Roman"/>
    <w:panose1 w:val="00000000000000000000"/>
    <w:charset w:val="00"/>
    <w:family w:val="auto"/>
    <w:pitch w:val="default"/>
    <w:sig w:usb0="00000000" w:usb1="00000000" w:usb2="00000000" w:usb3="00000000" w:csb0="00040001" w:csb1="00000000"/>
  </w:font>
  <w:font w:name="方正小标宋简体">
    <w:altName w:val="微软雅黑"/>
    <w:panose1 w:val="00000000000000000000"/>
    <w:charset w:val="86"/>
    <w:family w:val="auto"/>
    <w:pitch w:val="default"/>
    <w:sig w:usb0="00000000" w:usb1="184F6CFA" w:usb2="00000012" w:usb3="00000000" w:csb0="00040001"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80E0000" w:usb2="00000000" w:usb3="00000000" w:csb0="00040000" w:csb1="00000000"/>
  </w:font>
  <w:font w:name="楷体_GB2312">
    <w:altName w:val="楷体"/>
    <w:panose1 w:val="00000000000000000000"/>
    <w:charset w:val="86"/>
    <w:family w:val="auto"/>
    <w:pitch w:val="default"/>
    <w:sig w:usb0="00000000"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p>
    <w:pPr>
      <w:pStyle w:val="3"/>
    </w:pPr>
    <w:r>
      <w:rPr>
        <w:rFonts w:ascii="Times New Roman" w:hAnsi="Times New Roman" w:eastAsia="宋体" w:cs="Times New Roman"/>
        <w:kern w:val="2"/>
        <w:sz w:val="18"/>
        <w:szCs w:val="18"/>
        <w:lang w:val="en-US" w:eastAsia="zh-CN" w:bidi="ar-SA"/>
      </w:rPr>
      <w:pict>
        <v:shape id="文本框 1" o:spid="_x0000_s1025" type="#_x0000_t202" style="position:absolute;left:0;margin-top:0pt;height:144pt;width:144pt;mso-position-horizontal:center;mso-position-horizontal-relative:margin;mso-wrap-style:none;rotation:0f;z-index:251658240;" o:ole="f" fillcolor="#FFFFFF" filled="f" o:preferrelative="t" stroked="f" coordorigin="0,0" coordsize="21600,21600">
          <v:fill on="f" color2="#FFFFFF" focus="0%"/>
          <v:imagedata gain="65536f" blacklevel="0f" gamma="0"/>
          <o:lock v:ext="edit" position="f" selection="f" grouping="f" rotation="f" cropping="f" text="f" aspectratio="f"/>
          <v:textbox inset="0.00pt,0.00pt,0.00pt,0.00pt" style="mso-fit-shape-to-text:t;">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
    <w:nsid w:val="00000001"/>
    <w:multiLevelType w:val="singleLevel"/>
    <w:tmpl w:val="00000001"/>
    <w:lvl w:ilvl="0" w:tentative="1">
      <w:start w:val="2"/>
      <w:numFmt w:val="decimal"/>
      <w:suff w:val="nothing"/>
      <w:lvlText w:val="%1."/>
      <w:lvlJc w:val="left"/>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0"/>
  <w:drawingGridVerticalSpacing w:val="156"/>
  <w:displayHorizontalDrawingGridEvery w:val="0"/>
  <w:displayVerticalDrawingGridEvery w:val="2"/>
  <w:characterSpacingControl w:val="compressPunctuation"/>
  <w:compat>
    <w:spaceForUL/>
    <w:balanceSingleByteDoubleByteWidth/>
    <w:doNotLeaveBackslashAlone/>
    <w:ulTrailSpace/>
    <w:splitPgBreakAndParaMark/>
    <w:doNotExpandShiftReturn/>
    <w:adjustLineHeightInTable/>
    <w:useFELayout/>
    <w:useNormalStyleForList/>
    <w:doNotUseIndentAsNumberingTabStop/>
    <w:allowSpaceOfSameStyleInTable/>
    <w:doNotSuppressIndentation/>
    <w:doNotAutofitConstrainedTables/>
    <w:autofitToFirstFixedWidthCell/>
    <w:displayHangulFixedWidth/>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nhideWhenUsed="0" w:uiPriority="9" w:semiHidden="0" w:name="heading 3"/>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99" w:name="header"/>
    <w:lsdException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0" w:name="annotation subject"/>
    <w:lsdException w:uiPriority="0" w:name="Balloon Text"/>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3"/>
    <w:basedOn w:val="1"/>
    <w:link w:val="9"/>
    <w:qFormat/>
    <w:uiPriority w:val="9"/>
    <w:pPr>
      <w:widowControl/>
      <w:spacing w:before="100" w:beforeAutospacing="1" w:after="100" w:afterAutospacing="1"/>
      <w:jc w:val="left"/>
      <w:outlineLvl w:val="2"/>
    </w:pPr>
    <w:rPr>
      <w:rFonts w:ascii="宋体" w:hAnsi="宋体" w:cs="宋体"/>
      <w:b/>
      <w:bCs/>
      <w:kern w:val="0"/>
      <w:sz w:val="27"/>
      <w:szCs w:val="27"/>
    </w:rPr>
  </w:style>
  <w:style w:type="character" w:default="1" w:styleId="5">
    <w:name w:val="Default Paragraph Font"/>
    <w:semiHidden/>
    <w:unhideWhenUsed/>
    <w:uiPriority w:val="1"/>
  </w:style>
  <w:style w:type="paragraph" w:styleId="3">
    <w:name w:val="footer"/>
    <w:basedOn w:val="1"/>
    <w:link w:val="11"/>
    <w:semiHidden/>
    <w:unhideWhenUsed/>
    <w:uiPriority w:val="99"/>
    <w:pPr>
      <w:tabs>
        <w:tab w:val="center" w:pos="4153"/>
        <w:tab w:val="right" w:pos="8306"/>
      </w:tabs>
      <w:snapToGrid w:val="0"/>
      <w:jc w:val="left"/>
    </w:pPr>
    <w:rPr>
      <w:sz w:val="18"/>
      <w:szCs w:val="18"/>
    </w:rPr>
  </w:style>
  <w:style w:type="paragraph" w:styleId="4">
    <w:name w:val="header"/>
    <w:basedOn w:val="1"/>
    <w:link w:val="10"/>
    <w:semiHidden/>
    <w:unhideWhenUsed/>
    <w:uiPriority w:val="99"/>
    <w:pPr>
      <w:pBdr>
        <w:bottom w:val="single" w:color="auto" w:sz="6" w:space="1"/>
      </w:pBdr>
      <w:tabs>
        <w:tab w:val="center" w:pos="4153"/>
        <w:tab w:val="right" w:pos="8306"/>
      </w:tabs>
      <w:snapToGrid w:val="0"/>
      <w:jc w:val="center"/>
    </w:pPr>
    <w:rPr>
      <w:sz w:val="18"/>
      <w:szCs w:val="18"/>
    </w:rPr>
  </w:style>
  <w:style w:type="paragraph" w:customStyle="1" w:styleId="6">
    <w:name w:val="WPSOffice手动目录 1"/>
    <w:uiPriority w:val="0"/>
  </w:style>
  <w:style w:type="paragraph" w:customStyle="1" w:styleId="7">
    <w:name w:val="WPSOffice手动目录 2"/>
    <w:uiPriority w:val="0"/>
    <w:pPr>
      <w:ind w:left="200" w:leftChars="200"/>
    </w:pPr>
  </w:style>
  <w:style w:type="paragraph" w:customStyle="1" w:styleId="8">
    <w:name w:val="列出段落1"/>
    <w:basedOn w:val="1"/>
    <w:uiPriority w:val="0"/>
    <w:pPr>
      <w:ind w:firstLine="420" w:firstLineChars="200"/>
    </w:pPr>
    <w:rPr>
      <w:rFonts w:ascii="Calibri" w:hAnsi="Calibri"/>
    </w:rPr>
  </w:style>
  <w:style w:type="character" w:customStyle="1" w:styleId="9">
    <w:name w:val="标题 3 Char"/>
    <w:basedOn w:val="5"/>
    <w:link w:val="2"/>
    <w:uiPriority w:val="9"/>
    <w:rPr>
      <w:rFonts w:ascii="宋体" w:hAnsi="宋体" w:cs="宋体"/>
      <w:b/>
      <w:bCs/>
      <w:sz w:val="27"/>
      <w:szCs w:val="27"/>
    </w:rPr>
  </w:style>
  <w:style w:type="character" w:customStyle="1" w:styleId="10">
    <w:name w:val="页眉 Char"/>
    <w:basedOn w:val="5"/>
    <w:link w:val="4"/>
    <w:semiHidden/>
    <w:uiPriority w:val="99"/>
    <w:rPr>
      <w:kern w:val="2"/>
      <w:sz w:val="18"/>
      <w:szCs w:val="18"/>
    </w:rPr>
  </w:style>
  <w:style w:type="character" w:customStyle="1" w:styleId="11">
    <w:name w:val="页脚 Char"/>
    <w:basedOn w:val="5"/>
    <w:link w:val="3"/>
    <w:semiHidden/>
    <w:uiPriority w:val="99"/>
    <w:rPr>
      <w:kern w:val="2"/>
      <w:sz w:val="18"/>
      <w:szCs w:val="18"/>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 Id="rId7" Type="http://schemas.openxmlformats.org/officeDocument/2006/relationships/customXml" Target="../customXml/item1.xml"/><Relationship Id="rId8"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13</Pages>
  <Words>1059</Words>
  <Characters>6037</Characters>
  <Lines>50</Lines>
  <Paragraphs>14</Paragraphs>
  <ScaleCrop>false</ScaleCrop>
  <LinksUpToDate>false</LinksUpToDate>
  <CharactersWithSpaces>0</CharactersWithSpaces>
  <Application>WPS Office 专业版_9.1.0.4688_{F1E327BC-269C-435d-A152-05C5408002CA}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2022-09-04T11:36:00Z</dcterms:created>
  <dc:creator>lenovo</dc:creator>
  <cp:lastModifiedBy>Administration</cp:lastModifiedBy>
  <dcterms:modified xsi:type="dcterms:W3CDTF">2022-09-07T08:47:15Z</dcterms:modified>
  <dc:title>海南省公安厅收容教育所2021年度</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2052-9.1.0.4688</vt:lpwstr>
  </property>
</Properties>
</file>